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40" w:rsidRDefault="00C05A7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ПРОЄКТ</w:t>
      </w:r>
    </w:p>
    <w:p w:rsidR="00C91340" w:rsidRDefault="00C91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91340" w:rsidRDefault="00C05A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ПОЯСНЮВАЛЬНА ЗАПИСКА</w:t>
      </w:r>
    </w:p>
    <w:p w:rsidR="00C91340" w:rsidRDefault="00C05A74">
      <w:pPr>
        <w:tabs>
          <w:tab w:val="left" w:pos="7513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 проєкту наказу Міністерства фінансів України «Про затвердження Порядку інформаційної взаємодії Державної податкової служби України, Державної казначейської служби України та банків, небанківських надавачів платіжних послуг,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емітентів електронних грошей у процесі передачі платіжних інструкцій на примусове списання (стягнення) коштів в електронній формі»</w:t>
      </w:r>
    </w:p>
    <w:p w:rsidR="00C91340" w:rsidRDefault="00C9134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91340" w:rsidRDefault="00C9134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91340" w:rsidRDefault="00C05A7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e-IN"/>
        </w:rPr>
        <w:t>Мета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Метою прийняття проєкту наказу Міністерства фінансів України «Про затвердження Порядку інформаційної взаємодії Держав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ної податкової служби України, Державної казначейської служби України та банків, небанківських надавачів платіжних послуг, емітентів електронних грошей у процесі передачі платіжних інструкцій на примусове списання (стягнення) коштів в електронній формі» (д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алі – проєкт наказу) є запровадження інформаційної взаємодії ДПС, Казначейства та банків, небанківських надавачів платіжних послуг, емітентів електронних грошей, у яких відкриті рахунки платників, з яких здійснюється примусове списання (стягнення) коштів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далі – надавачі платіжних послуг платника), під час передачі надавачам платіжних послуг платіжних інструкцій на примусове списання (стягнення) коштів в електронній формі (далі – платіжна інструкція) у процесі виконання контролюючими органами функцій з пога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шення податкового боргу відповідно до підпункту 19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.1.22 пункту 19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 статті 19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розділу I, пунктів 95.3, 95.5 статті 95 глави 9 розділу II Податкового кодексу України (далі – Кодекс).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05A7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Обґрунтування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необхідності прийняття акта</w:t>
      </w:r>
    </w:p>
    <w:p w:rsidR="00C91340" w:rsidRDefault="00C05A7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 сьогодні стягнення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коштів з рахунків/електронних гаманців платника податків – боржника у банках, небанківських надавачах платіжних послуг/емітентах електронних грошей, обслуговуючих такого платника податків, здійснюється у паперовій формі відповідно до Інструкції про безготі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вкові розрахунки в національній валюті користувачів платіжних послуг, затвердженої постановою Правління Національного банку України від 29.07.2022 року № 163 </w:t>
      </w:r>
      <w:r w:rsidR="00436B52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далі – Інструкція № 163).</w:t>
      </w:r>
    </w:p>
    <w:p w:rsidR="00C91340" w:rsidRDefault="00C05A7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Водночас, з 01.08.2022 року введено в дію Закон України від 30.06.2021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№ 1591-ІХ «Про платіжні послуги», відповідно до якого запроваджується міжнародний стандарт ISO 20022 у платіжній інфраструктурі України. Також Законом України від 12.01.2023 № 2888-ІХ «Про внесення змін до Податкового кодексу України та інших законод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авчих актів України щодо платіжних послуг» внесено зміни до окремих положень Податкового кодексу України, зокрема до абзацу першого пункту 95.3 статті 95, абзаців другого і четвертого пункту 95.5 статті 95, згідно з якими заходи щодо стягнення коштів пошир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юються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рахунки/електронні гаманці, відкриті у банках, небанківських надавачах платіжних послуг, емітентах електронних грошей.</w:t>
      </w:r>
    </w:p>
    <w:p w:rsidR="00C91340" w:rsidRDefault="00C05A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Зазначені зміни в законодавстві дають можливість реалізувати примусове</w:t>
      </w:r>
    </w:p>
    <w:p w:rsidR="00C91340" w:rsidRDefault="00C05A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списання (стягнення) коштів з рахунків платників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податків – боржників в електронній формі в автоматичному режимі через систему електронних платежів Національного банку України (далі - СЕП НБУ).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05A7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Основні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положення проєкту акта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left="16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Порядок, який затверджується проєктом наказу, регламентує інформаційну взаємод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ію ДПС, Казначейства та надавачів платіжних послуг платника податків під час передачі надавачам платіжних послуг платника податків платіжних інструкцій на примусове списання (стягнення) коштів в електронній формі у процесі виконання контролюючими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функцій з погашення податкового боргу. 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Оскільки ДПС не є учасником СЕП НБУ обмін електронними документами між ІКС ДПС та Казначейства здійснюється мережами (системами) Національної системи конфіденційного зв’язку (НСКЗ) з використанням ІКС ДПС та Казначей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 та з дотриманням вимог Законів України «Про захист інформації в інформа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ційно-комунікаційних системах», «Про електронні документи та електронний документообіг» та «Про електронну ідентифікацію та електронні довірчі послуги». 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Структура та формат даних, що передаються та приймаються в порядку інформаційної взаємодії у процесі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ередачі платіжних інструкцій в електронній формі, визначаються протоколом обміну інформацією між ДПС та Казначейством.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Обмін електронними документами між Казначейством та надавачами платіжних послуг платника в процесі передачі та виконання платіжних інстру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кцій здійснюється відповідно до </w:t>
      </w:r>
      <w:r>
        <w:rPr>
          <w:rFonts w:ascii="Times New Roman" w:hAnsi="Times New Roman" w:cs="Times New Roman"/>
          <w:sz w:val="28"/>
          <w:szCs w:val="28"/>
        </w:rPr>
        <w:t>Інструкції № 163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05A7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Правові аспекти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розроблено відповідно до Податкового кодексу України,  Закону України «Про платіжні послуги», Закону України від 12 січня 2023 року                     № 2888-ІХ «Про внесення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змін до Податкового кодексу України та інших законодавчих актів України щодо платіжних послуг», Закону України «Про захист персональних даних», Закону України «Про інформацію», Закону України «Про захист інформації в інформаційно-комунікаційних системах»,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Інструкції про безготівкові розрахунки в національній валюті користувачів платіжних послуг, затвердженої постановою Правління Національного банку України від 29 липня 2022 року № 163. 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Фінансово-економічне обґрунтування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Реалізація наказу не потребує 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інансування з державного та/або місцевих бюджетів.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91340" w:rsidRDefault="00C05A7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Позиція заінтересованих сторін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підлягає погодженню з Міністерством цифрової трансформації України, Державною податковою службою України, Державною казначейською службою України, Державною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службою спеціального зв’язку та захисту інформації України та Національним банком України.</w:t>
      </w:r>
    </w:p>
    <w:p w:rsidR="00C91340" w:rsidRDefault="00C05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3 розділу ІІ «Прикінцеві та перехідні положення»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№ 2888 до порядку підготовки та прийняття нормативно-правових актів, що приймаються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виконання вимог цього Закону, не застосовуються вимоги Закону України «Про засади державної регуляторної політики у сфері господарської діяльності».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підлягає державній реєстрації в Міністерстві юстиції України.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не стосується пит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зазнач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ення позицій відповідних заінтересованих сторін.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не стосується сфери наукової та науково-технічної діяльності і не потребує зазначення позиції Наукового комітету Національної ради України з питань розвитку науки і технологій.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7. Оцінка відпо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відності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не містить норм, що стосуються зобов’язань України у сфері європейської інтеграції.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проєкті наказу відсутні положення, що: 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стосуються прав та свобод, гарантованих Конвенцією про захист прав людини і основоположних свобод;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порушують принципи забезпечення рівних прав та можливостей жінок і чоловіків;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містять ризики вчинення корупційних правопорушень та правопорушень, пов’язаних із корупцією;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містять ознаки дискримінації чи які створюють підстави для дискримінації.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зу не потребує подання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 наказу не передбачає надання державної допомоги суб’єктам господарювання та підтримки суб’єктів господ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арювання, відповідно дія Закону України «Про державну допомогу суб’єктам господарювання» не поширюється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проєкт наказу. У зв’язку з тим відповідне рішення Антимонопольного комітету України, передбачене зазначеним Законом, не потребується.</w:t>
      </w:r>
    </w:p>
    <w:p w:rsidR="00C91340" w:rsidRDefault="00C9134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8. Прогноз рез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ультатів </w:t>
      </w:r>
    </w:p>
    <w:p w:rsidR="00C91340" w:rsidRDefault="00C05A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 проєкту наказу надасть можливість забезпечити ефективну електронну інформаційну взаємодію ДПС, Казначейства та надавачів платіжних послуг платника під час передачі надавачам платіжних послуг платіжних інструкцій на примусове списання (с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тягнення) коштів в електронній формі у процесі виконання контролюючими органами функцій з погашення податкового боргу.</w:t>
      </w:r>
    </w:p>
    <w:p w:rsidR="00C91340" w:rsidRDefault="00C913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913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91340" w:rsidRDefault="00C05A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В. о. Міністра                                                                                Денис УЛЮТІН</w:t>
      </w:r>
    </w:p>
    <w:p w:rsidR="00C91340" w:rsidRDefault="00C913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340" w:rsidRDefault="00C91340"/>
    <w:sectPr w:rsidR="00C91340" w:rsidSect="00C91340">
      <w:headerReference w:type="default" r:id="rId7"/>
      <w:pgSz w:w="11906" w:h="16838"/>
      <w:pgMar w:top="851" w:right="567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74" w:rsidRDefault="00C05A74">
      <w:pPr>
        <w:spacing w:line="240" w:lineRule="auto"/>
      </w:pPr>
      <w:r>
        <w:separator/>
      </w:r>
    </w:p>
  </w:endnote>
  <w:endnote w:type="continuationSeparator" w:id="1">
    <w:p w:rsidR="00C05A74" w:rsidRDefault="00C05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74" w:rsidRDefault="00C05A74">
      <w:pPr>
        <w:spacing w:after="0"/>
      </w:pPr>
      <w:r>
        <w:separator/>
      </w:r>
    </w:p>
  </w:footnote>
  <w:footnote w:type="continuationSeparator" w:id="1">
    <w:p w:rsidR="00C05A74" w:rsidRDefault="00C05A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52574"/>
      <w:docPartObj>
        <w:docPartGallery w:val="AutoText"/>
      </w:docPartObj>
    </w:sdtPr>
    <w:sdtContent>
      <w:p w:rsidR="00C91340" w:rsidRDefault="00C91340">
        <w:pPr>
          <w:pStyle w:val="a5"/>
          <w:jc w:val="center"/>
        </w:pPr>
        <w:r>
          <w:fldChar w:fldCharType="begin"/>
        </w:r>
        <w:r w:rsidR="00C05A74">
          <w:instrText>PAGE   \* MERGEFORMAT</w:instrText>
        </w:r>
        <w:r>
          <w:fldChar w:fldCharType="separate"/>
        </w:r>
        <w:r w:rsidR="00436B52">
          <w:rPr>
            <w:noProof/>
          </w:rPr>
          <w:t>4</w:t>
        </w:r>
        <w:r>
          <w:fldChar w:fldCharType="end"/>
        </w:r>
      </w:p>
    </w:sdtContent>
  </w:sdt>
  <w:p w:rsidR="00C91340" w:rsidRDefault="00C9134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rFonts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A8"/>
    <w:rsid w:val="00103627"/>
    <w:rsid w:val="00174445"/>
    <w:rsid w:val="002C48F4"/>
    <w:rsid w:val="003F6489"/>
    <w:rsid w:val="00436B52"/>
    <w:rsid w:val="00436C7D"/>
    <w:rsid w:val="008A16CA"/>
    <w:rsid w:val="009E33D1"/>
    <w:rsid w:val="00A23176"/>
    <w:rsid w:val="00B25F5B"/>
    <w:rsid w:val="00B315A8"/>
    <w:rsid w:val="00BA1916"/>
    <w:rsid w:val="00C05A74"/>
    <w:rsid w:val="00C91340"/>
    <w:rsid w:val="00E35754"/>
    <w:rsid w:val="00FB0894"/>
    <w:rsid w:val="00FC5A89"/>
    <w:rsid w:val="6942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4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91340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rsid w:val="00C91340"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page number"/>
    <w:qFormat/>
    <w:rsid w:val="00C91340"/>
    <w:rPr>
      <w:rFonts w:cs="Times New Roman"/>
    </w:rPr>
  </w:style>
  <w:style w:type="character" w:styleId="a8">
    <w:name w:val="Strong"/>
    <w:basedOn w:val="a0"/>
    <w:uiPriority w:val="22"/>
    <w:qFormat/>
    <w:rsid w:val="00C91340"/>
    <w:rPr>
      <w:b/>
      <w:bCs/>
    </w:rPr>
  </w:style>
  <w:style w:type="paragraph" w:styleId="a9">
    <w:name w:val="List Paragraph"/>
    <w:basedOn w:val="a"/>
    <w:uiPriority w:val="34"/>
    <w:qFormat/>
    <w:rsid w:val="00C91340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C91340"/>
  </w:style>
  <w:style w:type="character" w:customStyle="1" w:styleId="a4">
    <w:name w:val="Нижний колонтитул Знак"/>
    <w:basedOn w:val="a0"/>
    <w:link w:val="a3"/>
    <w:uiPriority w:val="99"/>
    <w:rsid w:val="00C913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1177</Words>
  <Characters>6714</Characters>
  <Application>Microsoft Office Word</Application>
  <DocSecurity>0</DocSecurity>
  <Lines>55</Lines>
  <Paragraphs>15</Paragraphs>
  <ScaleCrop>false</ScaleCrop>
  <Company>Ministry of Finance of Ukraine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Кузьмук Олена Борисівна</dc:creator>
  <cp:lastModifiedBy>Admin</cp:lastModifiedBy>
  <cp:revision>6</cp:revision>
  <dcterms:created xsi:type="dcterms:W3CDTF">2024-10-24T09:11:00Z</dcterms:created>
  <dcterms:modified xsi:type="dcterms:W3CDTF">2024-10-28T09:36:00Z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A2C9535D8BF14440BC53B8FCD9823221_13</vt:lpwstr>
  </property>
</Properties>
</file>