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973"/>
      </w:tblGrid>
      <w:tr w:rsidR="00A75B78" w:rsidRPr="00A75B78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294" w:rsidRPr="00A75B78" w:rsidRDefault="00A75B78">
            <w:pPr>
              <w:pStyle w:val="rvps7"/>
              <w:spacing w:before="150" w:after="150"/>
              <w:ind w:left="450" w:right="450"/>
              <w:rPr>
                <w:rStyle w:val="spanrvts0"/>
                <w:lang w:val="uk" w:eastAsia="uk"/>
              </w:rPr>
            </w:pPr>
            <w:bookmarkStart w:id="0" w:name="n2"/>
            <w:bookmarkEnd w:id="0"/>
            <w:r w:rsidRPr="00A75B78">
              <w:rPr>
                <w:rStyle w:val="spanrvts0"/>
                <w:noProof/>
                <w:lang w:val="uk-UA" w:eastAsia="uk-UA"/>
              </w:rPr>
              <w:drawing>
                <wp:inline distT="0" distB="0" distL="0" distR="0">
                  <wp:extent cx="571500" cy="762000"/>
                  <wp:effectExtent l="0" t="0" r="0" b="0"/>
                  <wp:docPr id="100001" name="Рисунок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B78" w:rsidRPr="00A75B78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294" w:rsidRPr="00A75B78" w:rsidRDefault="00A75B78">
            <w:pPr>
              <w:pStyle w:val="rvps17"/>
              <w:spacing w:before="300"/>
              <w:ind w:left="450" w:right="450"/>
              <w:rPr>
                <w:rStyle w:val="spanrvts0"/>
                <w:lang w:val="uk" w:eastAsia="uk"/>
              </w:rPr>
            </w:pPr>
            <w:r w:rsidRPr="00A75B78">
              <w:rPr>
                <w:rStyle w:val="spanrvts78"/>
                <w:lang w:val="uk" w:eastAsia="uk"/>
              </w:rPr>
              <w:t>ЗАКОН УКРАЇНИ</w:t>
            </w:r>
          </w:p>
        </w:tc>
      </w:tr>
    </w:tbl>
    <w:p w:rsidR="00AE0294" w:rsidRPr="00A75B78" w:rsidRDefault="00A75B78">
      <w:pPr>
        <w:pStyle w:val="rvps6"/>
        <w:spacing w:before="300" w:after="450"/>
        <w:ind w:left="450" w:right="450"/>
        <w:rPr>
          <w:rStyle w:val="spanrvts0"/>
          <w:lang w:val="uk" w:eastAsia="uk"/>
        </w:rPr>
      </w:pPr>
      <w:bookmarkStart w:id="1" w:name="n3"/>
      <w:bookmarkEnd w:id="1"/>
      <w:r w:rsidRPr="00A75B78">
        <w:rPr>
          <w:rStyle w:val="spanrvts23"/>
          <w:lang w:val="uk" w:eastAsia="uk"/>
        </w:rPr>
        <w:t>Про внесення змін до Податкового кодексу України щодо імплементації положень актів права Європейського Союзу щодо акцизного податку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2" w:name="n4"/>
      <w:bookmarkEnd w:id="2"/>
      <w:r w:rsidRPr="00A75B78">
        <w:rPr>
          <w:rStyle w:val="spanrvts0"/>
          <w:lang w:val="uk" w:eastAsia="uk"/>
        </w:rPr>
        <w:t xml:space="preserve">Верховна Рада України </w:t>
      </w:r>
      <w:r w:rsidRPr="00A75B78">
        <w:rPr>
          <w:rStyle w:val="spanrvts52"/>
          <w:lang w:val="uk" w:eastAsia="uk"/>
        </w:rPr>
        <w:t>постановляє: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3" w:name="n5"/>
      <w:bookmarkEnd w:id="3"/>
      <w:r w:rsidRPr="00A75B78">
        <w:rPr>
          <w:rStyle w:val="spanrvts0"/>
          <w:lang w:val="uk" w:eastAsia="uk"/>
        </w:rPr>
        <w:t xml:space="preserve">I. </w:t>
      </w:r>
      <w:proofErr w:type="spellStart"/>
      <w:r w:rsidRPr="00A75B78">
        <w:rPr>
          <w:rStyle w:val="spanrvts0"/>
          <w:lang w:val="uk" w:eastAsia="uk"/>
        </w:rPr>
        <w:t>Внести</w:t>
      </w:r>
      <w:proofErr w:type="spellEnd"/>
      <w:r w:rsidRPr="00A75B78">
        <w:rPr>
          <w:rStyle w:val="spanrvts0"/>
          <w:lang w:val="uk" w:eastAsia="uk"/>
        </w:rPr>
        <w:t xml:space="preserve"> до </w:t>
      </w:r>
      <w:proofErr w:type="spellStart"/>
      <w:r w:rsidRPr="00A75B78">
        <w:rPr>
          <w:rStyle w:val="arvts96"/>
          <w:color w:val="auto"/>
          <w:lang w:val="uk" w:eastAsia="uk"/>
        </w:rPr>
        <w:t>Податкового</w:t>
      </w:r>
      <w:r w:rsidRPr="00A75B78">
        <w:rPr>
          <w:rStyle w:val="arvts96"/>
          <w:color w:val="auto"/>
          <w:lang w:val="uk" w:eastAsia="uk"/>
        </w:rPr>
        <w:t>кодексу</w:t>
      </w:r>
      <w:r w:rsidRPr="00A75B78">
        <w:rPr>
          <w:rStyle w:val="arvts96"/>
          <w:color w:val="auto"/>
          <w:lang w:val="uk" w:eastAsia="uk"/>
        </w:rPr>
        <w:t>України</w:t>
      </w:r>
      <w:proofErr w:type="spellEnd"/>
      <w:r w:rsidRPr="00A75B78">
        <w:rPr>
          <w:rStyle w:val="spanrvts0"/>
          <w:lang w:val="uk" w:eastAsia="uk"/>
        </w:rPr>
        <w:t xml:space="preserve"> (Відомості Верхо</w:t>
      </w:r>
      <w:r w:rsidRPr="00A75B78">
        <w:rPr>
          <w:rStyle w:val="spanrvts0"/>
          <w:lang w:val="uk" w:eastAsia="uk"/>
        </w:rPr>
        <w:t>вної Ради України, 2011 р., №№ 13-17, ст. 112) такі зміни: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4" w:name="n6"/>
      <w:bookmarkEnd w:id="4"/>
      <w:r w:rsidRPr="00A75B78">
        <w:rPr>
          <w:rStyle w:val="spanrvts0"/>
          <w:lang w:val="uk" w:eastAsia="uk"/>
        </w:rPr>
        <w:t xml:space="preserve">1. У </w:t>
      </w:r>
      <w:r w:rsidRPr="00A75B78">
        <w:rPr>
          <w:rStyle w:val="arvts96"/>
          <w:color w:val="auto"/>
          <w:lang w:val="uk" w:eastAsia="uk"/>
        </w:rPr>
        <w:t>пункті 14.1</w:t>
      </w:r>
      <w:r w:rsidRPr="00A75B78">
        <w:rPr>
          <w:rStyle w:val="spanrvts0"/>
          <w:lang w:val="uk" w:eastAsia="uk"/>
        </w:rPr>
        <w:t xml:space="preserve"> статті 14: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5" w:name="n7"/>
      <w:bookmarkEnd w:id="5"/>
      <w:r w:rsidRPr="00A75B78">
        <w:rPr>
          <w:rStyle w:val="spanrvts0"/>
          <w:lang w:val="uk" w:eastAsia="uk"/>
        </w:rPr>
        <w:t>1) доповнити підпунктом 14.1.26</w:t>
      </w:r>
      <w:r w:rsidRPr="00A75B78">
        <w:rPr>
          <w:rStyle w:val="spanrvts37"/>
          <w:sz w:val="0"/>
          <w:szCs w:val="0"/>
          <w:lang w:val="uk" w:eastAsia="uk"/>
        </w:rPr>
        <w:t>-</w:t>
      </w:r>
      <w:r w:rsidRPr="00A75B78">
        <w:rPr>
          <w:rStyle w:val="spanrvts37"/>
          <w:lang w:val="uk" w:eastAsia="uk"/>
        </w:rPr>
        <w:t>1</w:t>
      </w:r>
      <w:r w:rsidRPr="00A75B78">
        <w:rPr>
          <w:rStyle w:val="spanrvts0"/>
          <w:lang w:val="uk" w:eastAsia="uk"/>
        </w:rPr>
        <w:t xml:space="preserve"> такого змісту: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6" w:name="n8"/>
      <w:bookmarkEnd w:id="6"/>
      <w:r w:rsidRPr="00A75B78">
        <w:rPr>
          <w:rStyle w:val="spanrvts0"/>
          <w:lang w:val="uk" w:eastAsia="uk"/>
        </w:rPr>
        <w:t>"14.1.26</w:t>
      </w:r>
      <w:r w:rsidRPr="00A75B78">
        <w:rPr>
          <w:rStyle w:val="spanrvts37"/>
          <w:sz w:val="0"/>
          <w:szCs w:val="0"/>
          <w:lang w:val="uk" w:eastAsia="uk"/>
        </w:rPr>
        <w:t>-</w:t>
      </w:r>
      <w:r w:rsidRPr="00A75B78">
        <w:rPr>
          <w:rStyle w:val="spanrvts37"/>
          <w:lang w:val="uk" w:eastAsia="uk"/>
        </w:rPr>
        <w:t>1</w:t>
      </w:r>
      <w:r w:rsidRPr="00A75B78">
        <w:rPr>
          <w:rStyle w:val="spanrvts0"/>
          <w:lang w:val="uk" w:eastAsia="uk"/>
        </w:rPr>
        <w:t>. проміжні продукти - вина т</w:t>
      </w:r>
      <w:r w:rsidRPr="00A75B78">
        <w:rPr>
          <w:rStyle w:val="spanrvts0"/>
          <w:lang w:val="uk" w:eastAsia="uk"/>
        </w:rPr>
        <w:t xml:space="preserve">а інші </w:t>
      </w:r>
      <w:proofErr w:type="spellStart"/>
      <w:r w:rsidRPr="00A75B78">
        <w:rPr>
          <w:rStyle w:val="spanrvts0"/>
          <w:lang w:val="uk" w:eastAsia="uk"/>
        </w:rPr>
        <w:t>зброджені</w:t>
      </w:r>
      <w:proofErr w:type="spellEnd"/>
      <w:r w:rsidRPr="00A75B78">
        <w:rPr>
          <w:rStyle w:val="spanrvts0"/>
          <w:lang w:val="uk" w:eastAsia="uk"/>
        </w:rPr>
        <w:t xml:space="preserve"> напої (у тому числі суміші із </w:t>
      </w:r>
      <w:proofErr w:type="spellStart"/>
      <w:r w:rsidRPr="00A75B78">
        <w:rPr>
          <w:rStyle w:val="spanrvts0"/>
          <w:lang w:val="uk" w:eastAsia="uk"/>
        </w:rPr>
        <w:t>зброджених</w:t>
      </w:r>
      <w:proofErr w:type="spellEnd"/>
      <w:r w:rsidRPr="00A75B78">
        <w:rPr>
          <w:rStyle w:val="spanrvts0"/>
          <w:lang w:val="uk" w:eastAsia="uk"/>
        </w:rPr>
        <w:t xml:space="preserve"> напоїв та суміші на основі </w:t>
      </w:r>
      <w:proofErr w:type="spellStart"/>
      <w:r w:rsidRPr="00A75B78">
        <w:rPr>
          <w:rStyle w:val="spanrvts0"/>
          <w:lang w:val="uk" w:eastAsia="uk"/>
        </w:rPr>
        <w:t>зброджених</w:t>
      </w:r>
      <w:proofErr w:type="spellEnd"/>
      <w:r w:rsidRPr="00A75B78">
        <w:rPr>
          <w:rStyle w:val="spanrvts0"/>
          <w:lang w:val="uk" w:eastAsia="uk"/>
        </w:rPr>
        <w:t xml:space="preserve"> напоїв) з фактичною міцністю більше 1,2 % об., але не більше 22 % об., віднесені до кодів </w:t>
      </w:r>
      <w:r w:rsidRPr="00A75B78">
        <w:rPr>
          <w:rStyle w:val="arvts96"/>
          <w:color w:val="auto"/>
          <w:lang w:val="uk" w:eastAsia="uk"/>
        </w:rPr>
        <w:t>2204</w:t>
      </w:r>
      <w:r w:rsidRPr="00A75B78">
        <w:rPr>
          <w:rStyle w:val="spanrvts0"/>
          <w:lang w:val="uk" w:eastAsia="uk"/>
        </w:rPr>
        <w:t xml:space="preserve">, 2205, 2206 00 (вина та інші </w:t>
      </w:r>
      <w:proofErr w:type="spellStart"/>
      <w:r w:rsidRPr="00A75B78">
        <w:rPr>
          <w:rStyle w:val="spanrvts0"/>
          <w:lang w:val="uk" w:eastAsia="uk"/>
        </w:rPr>
        <w:t>зброджені</w:t>
      </w:r>
      <w:proofErr w:type="spellEnd"/>
      <w:r w:rsidRPr="00A75B78">
        <w:rPr>
          <w:rStyle w:val="spanrvts0"/>
          <w:lang w:val="uk" w:eastAsia="uk"/>
        </w:rPr>
        <w:t xml:space="preserve"> напої без додавання спирту етилового, в іншому місці не зазначені; вина та інші </w:t>
      </w:r>
      <w:proofErr w:type="spellStart"/>
      <w:r w:rsidRPr="00A75B78">
        <w:rPr>
          <w:rStyle w:val="spanrvts0"/>
          <w:lang w:val="uk" w:eastAsia="uk"/>
        </w:rPr>
        <w:t>зброджені</w:t>
      </w:r>
      <w:proofErr w:type="spellEnd"/>
      <w:r w:rsidRPr="00A75B78">
        <w:rPr>
          <w:rStyle w:val="spanrvts0"/>
          <w:lang w:val="uk" w:eastAsia="uk"/>
        </w:rPr>
        <w:t xml:space="preserve"> напої з додаванням спирту етилового) згідно з УКТЗЕД";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7" w:name="n9"/>
      <w:bookmarkEnd w:id="7"/>
      <w:r w:rsidRPr="00A75B78">
        <w:rPr>
          <w:rStyle w:val="arvts99"/>
          <w:color w:val="auto"/>
          <w:lang w:val="uk" w:eastAsia="uk"/>
        </w:rPr>
        <w:t>2)</w:t>
      </w:r>
      <w:r w:rsidRPr="00A75B78">
        <w:rPr>
          <w:rStyle w:val="spanrvts0"/>
          <w:lang w:val="uk" w:eastAsia="uk"/>
        </w:rPr>
        <w:t xml:space="preserve"> </w:t>
      </w:r>
      <w:r w:rsidRPr="00A75B78">
        <w:rPr>
          <w:rStyle w:val="arvts96"/>
          <w:color w:val="auto"/>
          <w:lang w:val="uk" w:eastAsia="uk"/>
        </w:rPr>
        <w:t>підпункт 14.1.60</w:t>
      </w:r>
      <w:r w:rsidRPr="00A75B78">
        <w:rPr>
          <w:rStyle w:val="spanrvts0"/>
          <w:b/>
          <w:bCs/>
          <w:sz w:val="0"/>
          <w:szCs w:val="0"/>
          <w:vertAlign w:val="superscript"/>
          <w:lang w:val="uk" w:eastAsia="uk"/>
        </w:rPr>
        <w:t>-</w:t>
      </w:r>
      <w:r w:rsidRPr="00A75B78">
        <w:rPr>
          <w:rStyle w:val="arvts117"/>
          <w:color w:val="auto"/>
          <w:lang w:val="uk" w:eastAsia="uk"/>
        </w:rPr>
        <w:t>2</w:t>
      </w:r>
      <w:r w:rsidRPr="00A75B78">
        <w:rPr>
          <w:rStyle w:val="spanrvts0"/>
          <w:lang w:val="uk" w:eastAsia="uk"/>
        </w:rPr>
        <w:t xml:space="preserve"> викласти в такій редакції: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8" w:name="n10"/>
      <w:bookmarkEnd w:id="8"/>
      <w:r w:rsidRPr="00A75B78">
        <w:rPr>
          <w:rStyle w:val="spanrvts0"/>
          <w:lang w:val="uk" w:eastAsia="uk"/>
        </w:rPr>
        <w:t>"14.1.60</w:t>
      </w:r>
      <w:r w:rsidRPr="00A75B78">
        <w:rPr>
          <w:rStyle w:val="spanrvts37"/>
          <w:sz w:val="0"/>
          <w:szCs w:val="0"/>
          <w:lang w:val="uk" w:eastAsia="uk"/>
        </w:rPr>
        <w:t>-</w:t>
      </w:r>
      <w:r w:rsidRPr="00A75B78">
        <w:rPr>
          <w:rStyle w:val="spanrvts37"/>
          <w:lang w:val="uk" w:eastAsia="uk"/>
        </w:rPr>
        <w:t>2</w:t>
      </w:r>
      <w:r w:rsidRPr="00A75B78">
        <w:rPr>
          <w:rStyle w:val="spanrvts0"/>
          <w:lang w:val="uk" w:eastAsia="uk"/>
        </w:rPr>
        <w:t>. Загальна сума податкових зобов’я</w:t>
      </w:r>
      <w:r w:rsidRPr="00A75B78">
        <w:rPr>
          <w:rStyle w:val="spanrvts0"/>
          <w:lang w:val="uk" w:eastAsia="uk"/>
        </w:rPr>
        <w:t xml:space="preserve">зань з акцизного податку на сигарети - річна сума податкових зобов’язань з акцизного податку (включаючи акцизний податок з роздрібної торгівлі підакцизними товарами) всіх платників акцизного податку з товарів за кодами </w:t>
      </w:r>
      <w:r w:rsidRPr="00A75B78">
        <w:rPr>
          <w:rStyle w:val="arvts96"/>
          <w:color w:val="auto"/>
          <w:lang w:val="uk" w:eastAsia="uk"/>
        </w:rPr>
        <w:t>2402 20 90 10</w:t>
      </w:r>
      <w:r w:rsidRPr="00A75B78">
        <w:rPr>
          <w:rStyle w:val="spanrvts0"/>
          <w:lang w:val="uk" w:eastAsia="uk"/>
        </w:rPr>
        <w:t>, 2402 20 90 20 згідно з УКТЗЕД, реалізованих виробниками на митній території України та ввезених імпортерами на митну територію України, визначених у деклараціях акцизного податку за січень -</w:t>
      </w:r>
      <w:r w:rsidRPr="00A75B78">
        <w:rPr>
          <w:rStyle w:val="spanrvts0"/>
          <w:lang w:val="uk" w:eastAsia="uk"/>
        </w:rPr>
        <w:t xml:space="preserve"> грудень звітного року, в розрахунку на 1000 штук.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9" w:name="n11"/>
      <w:bookmarkEnd w:id="9"/>
      <w:r w:rsidRPr="00A75B78">
        <w:rPr>
          <w:rStyle w:val="spanrvts0"/>
          <w:lang w:val="uk" w:eastAsia="uk"/>
        </w:rPr>
        <w:t>Центральний орган виконавчої влади, що реалізує державну податкову політику, визначає за даними декларацій акцизного податку та оприлюднює на своєму офіційному веб-сайті не пізніше 1 березня року, що наста</w:t>
      </w:r>
      <w:r w:rsidRPr="00A75B78">
        <w:rPr>
          <w:rStyle w:val="spanrvts0"/>
          <w:lang w:val="uk" w:eastAsia="uk"/>
        </w:rPr>
        <w:t>є за звітним, загальну суму податкових зобов’язань з акцизного податку на сигарети, середньозважену роздрібну ціну продажу сигарет та показник (у відсотках), що характеризує частку загальної суми податкових зобов’язань з акцизного податку у середньозважені</w:t>
      </w:r>
      <w:r w:rsidRPr="00A75B78">
        <w:rPr>
          <w:rStyle w:val="spanrvts0"/>
          <w:lang w:val="uk" w:eastAsia="uk"/>
        </w:rPr>
        <w:t>й роздрібній ціні продажу сигарет.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10" w:name="n12"/>
      <w:bookmarkEnd w:id="10"/>
      <w:r w:rsidRPr="00A75B78">
        <w:rPr>
          <w:rStyle w:val="spanrvts0"/>
          <w:lang w:val="uk" w:eastAsia="uk"/>
        </w:rPr>
        <w:t>Частка загальної суми податкових зобов’язань з акцизного податку у середньозваженій роздрібній ціні продажу сигарет розраховується за такою формулою: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11" w:name="n13"/>
      <w:bookmarkEnd w:id="11"/>
      <w:proofErr w:type="spellStart"/>
      <w:r w:rsidRPr="00A75B78">
        <w:rPr>
          <w:rStyle w:val="spanrvts0"/>
          <w:lang w:val="uk" w:eastAsia="uk"/>
        </w:rPr>
        <w:t>Част</w:t>
      </w:r>
      <w:proofErr w:type="spellEnd"/>
      <w:r w:rsidRPr="00A75B78">
        <w:rPr>
          <w:rStyle w:val="spanrvts0"/>
          <w:lang w:val="uk" w:eastAsia="uk"/>
        </w:rPr>
        <w:t xml:space="preserve">. = </w:t>
      </w:r>
      <w:r w:rsidRPr="00A75B78">
        <w:rPr>
          <w:rStyle w:val="spanrvts80"/>
          <w:lang w:val="uk" w:eastAsia="uk"/>
        </w:rPr>
        <w:t>∑</w:t>
      </w:r>
      <w:proofErr w:type="spellStart"/>
      <w:r w:rsidRPr="00A75B78">
        <w:rPr>
          <w:rStyle w:val="spanrvts40"/>
          <w:lang w:val="uk" w:eastAsia="uk"/>
        </w:rPr>
        <w:t>подат.зобов</w:t>
      </w:r>
      <w:proofErr w:type="spellEnd"/>
      <w:r w:rsidRPr="00A75B78">
        <w:rPr>
          <w:rStyle w:val="spanrvts0"/>
          <w:lang w:val="uk" w:eastAsia="uk"/>
        </w:rPr>
        <w:t>/</w:t>
      </w:r>
      <w:proofErr w:type="spellStart"/>
      <w:r w:rsidRPr="00A75B78">
        <w:rPr>
          <w:rStyle w:val="spanrvts0"/>
          <w:lang w:val="uk" w:eastAsia="uk"/>
        </w:rPr>
        <w:t>Ціна</w:t>
      </w:r>
      <w:r w:rsidRPr="00A75B78">
        <w:rPr>
          <w:rStyle w:val="spanrvts40"/>
          <w:lang w:val="uk" w:eastAsia="uk"/>
        </w:rPr>
        <w:t>сер.зваж</w:t>
      </w:r>
      <w:proofErr w:type="spellEnd"/>
      <w:r w:rsidRPr="00A75B78">
        <w:rPr>
          <w:rStyle w:val="spanrvts40"/>
          <w:lang w:val="uk" w:eastAsia="uk"/>
        </w:rPr>
        <w:t xml:space="preserve">. </w:t>
      </w:r>
      <w:r w:rsidRPr="00A75B78">
        <w:rPr>
          <w:rStyle w:val="spanrvts0"/>
          <w:lang w:val="uk" w:eastAsia="uk"/>
        </w:rPr>
        <w:t>х 100 %, де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12" w:name="n14"/>
      <w:bookmarkEnd w:id="12"/>
      <w:proofErr w:type="spellStart"/>
      <w:r w:rsidRPr="00A75B78">
        <w:rPr>
          <w:rStyle w:val="spanrvts0"/>
          <w:lang w:val="uk" w:eastAsia="uk"/>
        </w:rPr>
        <w:t>Част</w:t>
      </w:r>
      <w:proofErr w:type="spellEnd"/>
      <w:r w:rsidRPr="00A75B78">
        <w:rPr>
          <w:rStyle w:val="spanrvts0"/>
          <w:lang w:val="uk" w:eastAsia="uk"/>
        </w:rPr>
        <w:t>. - частка загальної</w:t>
      </w:r>
      <w:r w:rsidRPr="00A75B78">
        <w:rPr>
          <w:rStyle w:val="spanrvts0"/>
          <w:lang w:val="uk" w:eastAsia="uk"/>
        </w:rPr>
        <w:t xml:space="preserve"> суми податкових зобов’язань у середньозваженій роздрібній ціні продажу сигарет;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13" w:name="n15"/>
      <w:bookmarkEnd w:id="13"/>
      <w:r w:rsidRPr="00A75B78">
        <w:rPr>
          <w:rStyle w:val="spanrvts80"/>
          <w:lang w:val="uk" w:eastAsia="uk"/>
        </w:rPr>
        <w:lastRenderedPageBreak/>
        <w:t>∑</w:t>
      </w:r>
      <w:proofErr w:type="spellStart"/>
      <w:r w:rsidRPr="00A75B78">
        <w:rPr>
          <w:rStyle w:val="spanrvts40"/>
          <w:lang w:val="uk" w:eastAsia="uk"/>
        </w:rPr>
        <w:t>подат.зобов</w:t>
      </w:r>
      <w:proofErr w:type="spellEnd"/>
      <w:r w:rsidRPr="00A75B78">
        <w:rPr>
          <w:rStyle w:val="spanrvts40"/>
          <w:lang w:val="uk" w:eastAsia="uk"/>
        </w:rPr>
        <w:t>.</w:t>
      </w:r>
      <w:r w:rsidRPr="00A75B78">
        <w:rPr>
          <w:rStyle w:val="spanrvts0"/>
          <w:lang w:val="uk" w:eastAsia="uk"/>
        </w:rPr>
        <w:t xml:space="preserve"> - загальна сума податкових зобов’язань з акцизного податку на сигарети (включаючи акцизний податок з роздрібної торгівлі підакцизними товарами);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14" w:name="n16"/>
      <w:bookmarkEnd w:id="14"/>
      <w:proofErr w:type="spellStart"/>
      <w:r w:rsidRPr="00A75B78">
        <w:rPr>
          <w:rStyle w:val="spanrvts0"/>
          <w:lang w:val="uk" w:eastAsia="uk"/>
        </w:rPr>
        <w:t>Ціна</w:t>
      </w:r>
      <w:r w:rsidRPr="00A75B78">
        <w:rPr>
          <w:rStyle w:val="spanrvts40"/>
          <w:lang w:val="uk" w:eastAsia="uk"/>
        </w:rPr>
        <w:t>сер.зваж</w:t>
      </w:r>
      <w:proofErr w:type="spellEnd"/>
      <w:r w:rsidRPr="00A75B78">
        <w:rPr>
          <w:rStyle w:val="spanrvts40"/>
          <w:lang w:val="uk" w:eastAsia="uk"/>
        </w:rPr>
        <w:t>.</w:t>
      </w:r>
      <w:r w:rsidRPr="00A75B78">
        <w:rPr>
          <w:rStyle w:val="spanrvts0"/>
          <w:lang w:val="uk" w:eastAsia="uk"/>
        </w:rPr>
        <w:t xml:space="preserve"> - середньозважена роздрібна ціна продажу сигарет (включаючи акцизний податок з роздрібної торгівлі підакцизними товарами)";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15" w:name="n17"/>
      <w:bookmarkEnd w:id="15"/>
      <w:r w:rsidRPr="00A75B78">
        <w:rPr>
          <w:rStyle w:val="arvts99"/>
          <w:color w:val="auto"/>
          <w:lang w:val="uk" w:eastAsia="uk"/>
        </w:rPr>
        <w:t>3)</w:t>
      </w:r>
      <w:r w:rsidRPr="00A75B78">
        <w:rPr>
          <w:rStyle w:val="spanrvts0"/>
          <w:lang w:val="uk" w:eastAsia="uk"/>
        </w:rPr>
        <w:t xml:space="preserve"> </w:t>
      </w:r>
      <w:r w:rsidRPr="00A75B78">
        <w:rPr>
          <w:rStyle w:val="arvts96"/>
          <w:color w:val="auto"/>
          <w:lang w:val="uk" w:eastAsia="uk"/>
        </w:rPr>
        <w:t>підпункт 14.1.227</w:t>
      </w:r>
      <w:r w:rsidRPr="00A75B78">
        <w:rPr>
          <w:rStyle w:val="spanrvts0"/>
          <w:b/>
          <w:bCs/>
          <w:sz w:val="0"/>
          <w:szCs w:val="0"/>
          <w:vertAlign w:val="superscript"/>
          <w:lang w:val="uk" w:eastAsia="uk"/>
        </w:rPr>
        <w:t>-</w:t>
      </w:r>
      <w:r w:rsidRPr="00A75B78">
        <w:rPr>
          <w:rStyle w:val="arvts117"/>
          <w:color w:val="auto"/>
          <w:lang w:val="uk" w:eastAsia="uk"/>
        </w:rPr>
        <w:t>1</w:t>
      </w:r>
      <w:r w:rsidRPr="00A75B78">
        <w:rPr>
          <w:rStyle w:val="spanrvts0"/>
          <w:lang w:val="uk" w:eastAsia="uk"/>
        </w:rPr>
        <w:t xml:space="preserve"> викласти в такій редакції: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16" w:name="n18"/>
      <w:bookmarkEnd w:id="16"/>
      <w:r w:rsidRPr="00A75B78">
        <w:rPr>
          <w:rStyle w:val="spanrvts0"/>
          <w:lang w:val="uk" w:eastAsia="uk"/>
        </w:rPr>
        <w:t>"14.1.227</w:t>
      </w:r>
      <w:r w:rsidRPr="00A75B78">
        <w:rPr>
          <w:rStyle w:val="spanrvts37"/>
          <w:sz w:val="0"/>
          <w:szCs w:val="0"/>
          <w:lang w:val="uk" w:eastAsia="uk"/>
        </w:rPr>
        <w:t>-</w:t>
      </w:r>
      <w:r w:rsidRPr="00A75B78">
        <w:rPr>
          <w:rStyle w:val="spanrvts37"/>
          <w:lang w:val="uk" w:eastAsia="uk"/>
        </w:rPr>
        <w:t>1</w:t>
      </w:r>
      <w:r w:rsidRPr="00A75B78">
        <w:rPr>
          <w:rStyle w:val="spanrvts0"/>
          <w:lang w:val="uk" w:eastAsia="uk"/>
        </w:rPr>
        <w:t>. середньозважена роздрібна ціна продажу сигарет - ціна, розрахована із суми загальної вартості всіх сигарет (з урахуванням усіх податк</w:t>
      </w:r>
      <w:r w:rsidRPr="00A75B78">
        <w:rPr>
          <w:rStyle w:val="spanrvts0"/>
          <w:lang w:val="uk" w:eastAsia="uk"/>
        </w:rPr>
        <w:t xml:space="preserve">ів, у тому числі суми акцизного податку з роздрібної торгівлі підакцизними товарами), реалізованих виробниками на митній території України та ввезених імпортерами на митну територію України за період з 1 січня до 31 грудня включно звітного року, поділеної </w:t>
      </w:r>
      <w:r w:rsidRPr="00A75B78">
        <w:rPr>
          <w:rStyle w:val="spanrvts0"/>
          <w:lang w:val="uk" w:eastAsia="uk"/>
        </w:rPr>
        <w:t>на суму загальної кількості реалізованих виробниками та ввезених імпортерами сигарет за той самий період, визначеної у деклараціях акцизного податку за січень - грудень звітного року, в розрахунку на 1000 штук".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17" w:name="n19"/>
      <w:bookmarkEnd w:id="17"/>
      <w:r w:rsidRPr="00A75B78">
        <w:rPr>
          <w:rStyle w:val="spanrvts0"/>
          <w:lang w:val="uk" w:eastAsia="uk"/>
        </w:rPr>
        <w:t xml:space="preserve">2. У </w:t>
      </w:r>
      <w:r w:rsidRPr="00A75B78">
        <w:rPr>
          <w:rStyle w:val="arvts96"/>
          <w:color w:val="auto"/>
          <w:lang w:val="uk" w:eastAsia="uk"/>
        </w:rPr>
        <w:t>пункті 215.3</w:t>
      </w:r>
      <w:r w:rsidRPr="00A75B78">
        <w:rPr>
          <w:rStyle w:val="spanrvts0"/>
          <w:lang w:val="uk" w:eastAsia="uk"/>
        </w:rPr>
        <w:t xml:space="preserve"> статті 215: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18" w:name="n20"/>
      <w:bookmarkEnd w:id="18"/>
      <w:r w:rsidRPr="00A75B78">
        <w:rPr>
          <w:rStyle w:val="arvts99"/>
          <w:color w:val="auto"/>
          <w:lang w:val="uk" w:eastAsia="uk"/>
        </w:rPr>
        <w:t>1)</w:t>
      </w:r>
      <w:r w:rsidRPr="00A75B78">
        <w:rPr>
          <w:rStyle w:val="spanrvts0"/>
          <w:lang w:val="uk" w:eastAsia="uk"/>
        </w:rPr>
        <w:t xml:space="preserve"> у </w:t>
      </w:r>
      <w:r w:rsidRPr="00A75B78">
        <w:rPr>
          <w:rStyle w:val="arvts96"/>
          <w:color w:val="auto"/>
          <w:lang w:val="uk" w:eastAsia="uk"/>
        </w:rPr>
        <w:t>підпункті 215.3.1</w:t>
      </w:r>
      <w:r w:rsidRPr="00A75B78">
        <w:rPr>
          <w:rStyle w:val="spanrvts0"/>
          <w:lang w:val="uk" w:eastAsia="uk"/>
        </w:rPr>
        <w:t xml:space="preserve"> цифри і слова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659"/>
        <w:gridCol w:w="3861"/>
        <w:gridCol w:w="1320"/>
        <w:gridCol w:w="1117"/>
      </w:tblGrid>
      <w:tr w:rsidR="00A75B78" w:rsidRPr="00A75B78">
        <w:trPr>
          <w:jc w:val="center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19" w:name="n21"/>
            <w:bookmarkEnd w:id="19"/>
            <w:r w:rsidRPr="00A75B78">
              <w:rPr>
                <w:rStyle w:val="spanrvts0"/>
                <w:lang w:val="uk" w:eastAsia="uk"/>
              </w:rPr>
              <w:t xml:space="preserve">"2204, 2205, 2206 00 (вина та інші </w:t>
            </w:r>
            <w:proofErr w:type="spellStart"/>
            <w:r w:rsidRPr="00A75B78">
              <w:rPr>
                <w:rStyle w:val="spanrvts0"/>
                <w:lang w:val="uk" w:eastAsia="uk"/>
              </w:rPr>
              <w:t>зброджені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напої без додання етилового спирту, в іншому місці не зазначені; вина та інші </w:t>
            </w:r>
            <w:proofErr w:type="spellStart"/>
            <w:r w:rsidRPr="00A75B78">
              <w:rPr>
                <w:rStyle w:val="spanrvts0"/>
                <w:lang w:val="uk" w:eastAsia="uk"/>
              </w:rPr>
              <w:t>зброджені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напої з доданням етилового спирту)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Вина та інші </w:t>
            </w:r>
            <w:proofErr w:type="spellStart"/>
            <w:r w:rsidRPr="00A75B78">
              <w:rPr>
                <w:rStyle w:val="spanrvts0"/>
                <w:lang w:val="uk" w:eastAsia="uk"/>
              </w:rPr>
              <w:t>зброджені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напої (у тому числі суміші із </w:t>
            </w:r>
            <w:proofErr w:type="spellStart"/>
            <w:r w:rsidRPr="00A75B78">
              <w:rPr>
                <w:rStyle w:val="spanrvts0"/>
                <w:lang w:val="uk" w:eastAsia="uk"/>
              </w:rPr>
              <w:t>зброджених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напоїв та суміші на основі </w:t>
            </w:r>
            <w:proofErr w:type="spellStart"/>
            <w:r w:rsidRPr="00A75B78">
              <w:rPr>
                <w:rStyle w:val="spanrvts0"/>
                <w:lang w:val="uk" w:eastAsia="uk"/>
              </w:rPr>
              <w:t>зброджених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напоїв), фактична міцність яки</w:t>
            </w:r>
            <w:r w:rsidRPr="00A75B78">
              <w:rPr>
                <w:rStyle w:val="spanrvts0"/>
                <w:lang w:val="uk" w:eastAsia="uk"/>
              </w:rPr>
              <w:t>х вища за 1,2 відсотка об’ємних одиниць етилового спирту, але не вища за 22 відсотки об’ємних одиниць етилового спирту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гривень за 1 літр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8,42"</w:t>
            </w:r>
          </w:p>
        </w:tc>
      </w:tr>
    </w:tbl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20" w:name="n22"/>
      <w:bookmarkEnd w:id="20"/>
      <w:r w:rsidRPr="00A75B78">
        <w:rPr>
          <w:rStyle w:val="spanrvts0"/>
          <w:lang w:val="uk" w:eastAsia="uk"/>
        </w:rPr>
        <w:t>замінити цифрами і словами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659"/>
        <w:gridCol w:w="3861"/>
        <w:gridCol w:w="1320"/>
        <w:gridCol w:w="1117"/>
      </w:tblGrid>
      <w:tr w:rsidR="00A75B78" w:rsidRPr="00A75B78">
        <w:trPr>
          <w:jc w:val="center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21" w:name="n23"/>
            <w:bookmarkEnd w:id="21"/>
            <w:r w:rsidRPr="00A75B78">
              <w:rPr>
                <w:rStyle w:val="spanrvts0"/>
                <w:lang w:val="uk" w:eastAsia="uk"/>
              </w:rPr>
              <w:t xml:space="preserve">"2204, 2205, 2206 00 (вина та інші </w:t>
            </w:r>
            <w:proofErr w:type="spellStart"/>
            <w:r w:rsidRPr="00A75B78">
              <w:rPr>
                <w:rStyle w:val="spanrvts0"/>
                <w:lang w:val="uk" w:eastAsia="uk"/>
              </w:rPr>
              <w:t>зброджені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напої без додавання спирту етилового, в </w:t>
            </w:r>
            <w:r w:rsidRPr="00A75B78">
              <w:rPr>
                <w:rStyle w:val="spanrvts0"/>
                <w:lang w:val="uk" w:eastAsia="uk"/>
              </w:rPr>
              <w:t xml:space="preserve">іншому місці не зазначені; вина та інші </w:t>
            </w:r>
            <w:proofErr w:type="spellStart"/>
            <w:r w:rsidRPr="00A75B78">
              <w:rPr>
                <w:rStyle w:val="spanrvts0"/>
                <w:lang w:val="uk" w:eastAsia="uk"/>
              </w:rPr>
              <w:t>зброджені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напої з додаванням спирту етилового)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Вина та інші </w:t>
            </w:r>
            <w:proofErr w:type="spellStart"/>
            <w:r w:rsidRPr="00A75B78">
              <w:rPr>
                <w:rStyle w:val="spanrvts0"/>
                <w:lang w:val="uk" w:eastAsia="uk"/>
              </w:rPr>
              <w:t>зброджені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напої (у тому числі суміші із </w:t>
            </w:r>
            <w:proofErr w:type="spellStart"/>
            <w:r w:rsidRPr="00A75B78">
              <w:rPr>
                <w:rStyle w:val="spanrvts0"/>
                <w:lang w:val="uk" w:eastAsia="uk"/>
              </w:rPr>
              <w:t>зброджених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напоїв та суміші на основі </w:t>
            </w:r>
            <w:proofErr w:type="spellStart"/>
            <w:r w:rsidRPr="00A75B78">
              <w:rPr>
                <w:rStyle w:val="spanrvts0"/>
                <w:lang w:val="uk" w:eastAsia="uk"/>
              </w:rPr>
              <w:t>зброджених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напоїв) з фактичною міцністю більше 1,2 % об., але не більше 22 % о</w:t>
            </w:r>
            <w:r w:rsidRPr="00A75B78">
              <w:rPr>
                <w:rStyle w:val="spanrvts0"/>
                <w:lang w:val="uk" w:eastAsia="uk"/>
              </w:rPr>
              <w:t>б. (проміжні продукти)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гривень за 1 літр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12,23";</w:t>
            </w:r>
          </w:p>
        </w:tc>
      </w:tr>
    </w:tbl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22" w:name="n24"/>
      <w:bookmarkEnd w:id="22"/>
      <w:r w:rsidRPr="00A75B78">
        <w:rPr>
          <w:rStyle w:val="spanrvts0"/>
          <w:lang w:val="uk" w:eastAsia="uk"/>
        </w:rPr>
        <w:t xml:space="preserve">2) </w:t>
      </w:r>
      <w:r w:rsidRPr="00A75B78">
        <w:rPr>
          <w:rStyle w:val="arvts96"/>
          <w:color w:val="auto"/>
          <w:lang w:val="uk" w:eastAsia="uk"/>
        </w:rPr>
        <w:t>підпункт 215.3.4</w:t>
      </w:r>
      <w:r w:rsidRPr="00A75B78">
        <w:rPr>
          <w:rStyle w:val="spanrvts0"/>
          <w:lang w:val="uk" w:eastAsia="uk"/>
        </w:rPr>
        <w:t xml:space="preserve"> викласти в такій редакції: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23" w:name="n25"/>
      <w:bookmarkEnd w:id="23"/>
      <w:r w:rsidRPr="00A75B78">
        <w:rPr>
          <w:rStyle w:val="spanrvts0"/>
          <w:lang w:val="uk" w:eastAsia="uk"/>
        </w:rPr>
        <w:t>"215.3.4. пальне: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215"/>
        <w:gridCol w:w="4131"/>
        <w:gridCol w:w="2015"/>
        <w:gridCol w:w="1612"/>
      </w:tblGrid>
      <w:tr w:rsidR="00A75B78" w:rsidRPr="00A75B78">
        <w:trPr>
          <w:jc w:val="center"/>
        </w:trPr>
        <w:tc>
          <w:tcPr>
            <w:tcW w:w="1100" w:type="pct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22" w:type="dxa"/>
              <w:left w:w="20" w:type="dxa"/>
              <w:bottom w:w="22" w:type="dxa"/>
              <w:right w:w="22" w:type="dxa"/>
            </w:tcMar>
            <w:hideMark/>
          </w:tcPr>
          <w:p w:rsidR="00AE0294" w:rsidRPr="00A75B78" w:rsidRDefault="00A75B78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bookmarkStart w:id="24" w:name="n26"/>
            <w:bookmarkEnd w:id="24"/>
            <w:r w:rsidRPr="00A75B78">
              <w:rPr>
                <w:rStyle w:val="spanrvts0"/>
                <w:lang w:val="uk" w:eastAsia="uk"/>
              </w:rPr>
              <w:t xml:space="preserve">Код товару (продукції) згідно з </w:t>
            </w:r>
            <w:r w:rsidRPr="00A75B78">
              <w:rPr>
                <w:rStyle w:val="arvts96"/>
                <w:color w:val="auto"/>
                <w:lang w:val="uk" w:eastAsia="uk"/>
              </w:rPr>
              <w:t>УКТЗЕД</w:t>
            </w:r>
          </w:p>
        </w:tc>
        <w:tc>
          <w:tcPr>
            <w:tcW w:w="20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0294" w:rsidRPr="00A75B78" w:rsidRDefault="00A75B78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Опис товару (продукції) згідно з </w:t>
            </w:r>
            <w:r w:rsidRPr="00A75B78">
              <w:rPr>
                <w:rStyle w:val="arvts96"/>
                <w:color w:val="auto"/>
                <w:lang w:val="uk" w:eastAsia="uk"/>
              </w:rPr>
              <w:t>УКТЗЕД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22" w:type="dxa"/>
              <w:bottom w:w="22" w:type="dxa"/>
              <w:right w:w="20" w:type="dxa"/>
            </w:tcMar>
            <w:hideMark/>
          </w:tcPr>
          <w:p w:rsidR="00AE0294" w:rsidRPr="00A75B78" w:rsidRDefault="00A75B78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Ставка акцизного податку у твердих </w:t>
            </w:r>
            <w:r w:rsidRPr="00A75B78">
              <w:rPr>
                <w:rStyle w:val="spanrvts0"/>
                <w:lang w:val="uk" w:eastAsia="uk"/>
              </w:rPr>
              <w:t>сумах з одиниці реалізованого товару (продукції)</w:t>
            </w:r>
          </w:p>
        </w:tc>
      </w:tr>
      <w:tr w:rsidR="00A75B78" w:rsidRPr="00A75B78">
        <w:trPr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0294" w:rsidRPr="00A75B78" w:rsidRDefault="00AE0294">
            <w:pPr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0294" w:rsidRPr="00A75B78" w:rsidRDefault="00AE0294">
            <w:pPr>
              <w:rPr>
                <w:rStyle w:val="spanrvts0"/>
                <w:lang w:val="uk" w:eastAsia="uk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0294" w:rsidRPr="00A75B78" w:rsidRDefault="00A75B78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одиниця виміру (об’єм у літрах, приведених до t 15° C)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22" w:type="dxa"/>
              <w:bottom w:w="22" w:type="dxa"/>
              <w:right w:w="20" w:type="dxa"/>
            </w:tcMar>
            <w:hideMark/>
          </w:tcPr>
          <w:p w:rsidR="00AE0294" w:rsidRPr="00A75B78" w:rsidRDefault="00A75B78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ставка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Borders>
              <w:top w:val="single" w:sz="6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lastRenderedPageBreak/>
              <w:t xml:space="preserve">2707 50 00 10 </w:t>
            </w:r>
            <w:r w:rsidRPr="00A75B78">
              <w:rPr>
                <w:rStyle w:val="spanrvts0"/>
                <w:lang w:val="uk" w:eastAsia="uk"/>
              </w:rPr>
              <w:br/>
              <w:t>2707 50 00 90</w:t>
            </w:r>
          </w:p>
        </w:tc>
        <w:tc>
          <w:tcPr>
            <w:tcW w:w="2050" w:type="pct"/>
            <w:tcBorders>
              <w:top w:val="single" w:sz="6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Суміші ароматичних вуглеводнів, з яких 65 об. % або більше (включаючи втрати) </w:t>
            </w:r>
            <w:proofErr w:type="spellStart"/>
            <w:r w:rsidRPr="00A75B78">
              <w:rPr>
                <w:rStyle w:val="spanrvts0"/>
                <w:lang w:val="uk" w:eastAsia="uk"/>
              </w:rPr>
              <w:t>переганяються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при температурі до </w:t>
            </w:r>
            <w:r w:rsidRPr="00A75B78">
              <w:rPr>
                <w:rStyle w:val="spanrvts0"/>
                <w:lang w:val="uk" w:eastAsia="uk"/>
              </w:rPr>
              <w:t>250 °C за методом ISO 3405 (еквівалентним методу ASTM D 86)</w:t>
            </w:r>
          </w:p>
        </w:tc>
        <w:tc>
          <w:tcPr>
            <w:tcW w:w="1000" w:type="pct"/>
            <w:tcBorders>
              <w:top w:val="single" w:sz="6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Borders>
              <w:top w:val="single" w:sz="6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359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Легкі дистиляти: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2710 12 11 10 </w:t>
            </w:r>
            <w:r w:rsidRPr="00A75B78">
              <w:rPr>
                <w:rStyle w:val="spanrvts0"/>
                <w:lang w:val="uk" w:eastAsia="uk"/>
              </w:rPr>
              <w:br/>
              <w:t>2710 12 11 20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для специфічних процесів переробки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359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2710 12 11 90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2710 12 15 10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2710 12 15 20 </w:t>
            </w:r>
            <w:r w:rsidRPr="00A75B78">
              <w:rPr>
                <w:rStyle w:val="spanrvts0"/>
                <w:lang w:val="uk" w:eastAsia="uk"/>
              </w:rPr>
              <w:br/>
              <w:t>2710 12 15 90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для хімічних перетворень у процесах, крім зазначених у товарних </w:t>
            </w:r>
            <w:proofErr w:type="spellStart"/>
            <w:r w:rsidRPr="00A75B78">
              <w:rPr>
                <w:rStyle w:val="spanrvts0"/>
                <w:lang w:val="uk" w:eastAsia="uk"/>
              </w:rPr>
              <w:t>підкатегоріях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2710 12 11 10, 2710 12 11 20, 2710 12 11 90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359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Бензини спеціальні: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2710 12 21 10 </w:t>
            </w:r>
            <w:r w:rsidRPr="00A75B78">
              <w:rPr>
                <w:rStyle w:val="spanrvts0"/>
                <w:lang w:val="uk" w:eastAsia="uk"/>
              </w:rPr>
              <w:br/>
              <w:t>2710 12 21 90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proofErr w:type="spellStart"/>
            <w:r w:rsidRPr="00A75B78">
              <w:rPr>
                <w:rStyle w:val="spanrvts0"/>
                <w:lang w:val="uk" w:eastAsia="uk"/>
              </w:rPr>
              <w:t>уайт</w:t>
            </w:r>
            <w:proofErr w:type="spellEnd"/>
            <w:r w:rsidRPr="00A75B78">
              <w:rPr>
                <w:rStyle w:val="spanrvts0"/>
                <w:lang w:val="uk" w:eastAsia="uk"/>
              </w:rPr>
              <w:t>-спірит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359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2710 12 25 00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інші </w:t>
            </w:r>
            <w:r w:rsidRPr="00A75B78">
              <w:rPr>
                <w:rStyle w:val="spanrvts0"/>
                <w:lang w:val="uk" w:eastAsia="uk"/>
              </w:rPr>
              <w:t>спеціальні бензини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359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Бензини моторні: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2710 12 31 00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бензини авіаційні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45,36*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бензини моторні з вмістом свинцю 0,013 г/л або менше: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2710 12 41 11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2710 12 41 12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2710 12 41 13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2710 12 41 31 </w:t>
            </w:r>
            <w:r w:rsidRPr="00A75B78">
              <w:rPr>
                <w:rStyle w:val="spanrvts0"/>
                <w:lang w:val="uk" w:eastAsia="uk"/>
              </w:rPr>
              <w:br/>
            </w:r>
            <w:r w:rsidRPr="00A75B78">
              <w:rPr>
                <w:rStyle w:val="spanrvts0"/>
                <w:lang w:val="uk" w:eastAsia="uk"/>
              </w:rPr>
              <w:t xml:space="preserve">2710 12 41 32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2710 12 41 33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2710 12 41 91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2710 12 41 92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2710 12 41 93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2710 12 45 01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2710 12 45 02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2710 12 45 09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2710 12 49 01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2710 12 49 02 </w:t>
            </w:r>
            <w:r w:rsidRPr="00A75B78">
              <w:rPr>
                <w:rStyle w:val="spanrvts0"/>
                <w:lang w:val="uk" w:eastAsia="uk"/>
              </w:rPr>
              <w:br/>
              <w:t>2710 12 49 09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із вмістом не менш як 5 мас. % </w:t>
            </w:r>
            <w:proofErr w:type="spellStart"/>
            <w:r w:rsidRPr="00A75B78">
              <w:rPr>
                <w:rStyle w:val="spanrvts0"/>
                <w:lang w:val="uk" w:eastAsia="uk"/>
              </w:rPr>
              <w:t>біоетанолу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або не менш як 5 мас. % етил-</w:t>
            </w:r>
            <w:proofErr w:type="spellStart"/>
            <w:r w:rsidRPr="00A75B78">
              <w:rPr>
                <w:rStyle w:val="spanrvts0"/>
                <w:lang w:val="uk" w:eastAsia="uk"/>
              </w:rPr>
              <w:t>трет</w:t>
            </w:r>
            <w:proofErr w:type="spellEnd"/>
            <w:r w:rsidRPr="00A75B78">
              <w:rPr>
                <w:rStyle w:val="spanrvts0"/>
                <w:lang w:val="uk" w:eastAsia="uk"/>
              </w:rPr>
              <w:t>-</w:t>
            </w:r>
            <w:proofErr w:type="spellStart"/>
            <w:r w:rsidRPr="00A75B78">
              <w:rPr>
                <w:rStyle w:val="spanrvts0"/>
                <w:lang w:val="uk" w:eastAsia="uk"/>
              </w:rPr>
              <w:t>бутилового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ефіру</w:t>
            </w:r>
            <w:r w:rsidRPr="00A75B78">
              <w:rPr>
                <w:rStyle w:val="spanrvts0"/>
                <w:lang w:val="uk" w:eastAsia="uk"/>
              </w:rPr>
              <w:t xml:space="preserve"> або їх суміші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359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lastRenderedPageBreak/>
              <w:t xml:space="preserve">2710 12 41 14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2710 12 41 15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2710 12 41 19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2710 12 41 34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2710 12 41 35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2710 12 41 39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2710 12 41 94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2710 12 41 95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2710 12 41 99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2710 12 45 12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2710 12 45 13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2710 12 45 99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2710 12 49 12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2710 12 49 13 </w:t>
            </w:r>
            <w:r w:rsidRPr="00A75B78">
              <w:rPr>
                <w:rStyle w:val="spanrvts0"/>
                <w:lang w:val="uk" w:eastAsia="uk"/>
              </w:rPr>
              <w:br/>
              <w:t xml:space="preserve">2710 </w:t>
            </w:r>
            <w:r w:rsidRPr="00A75B78">
              <w:rPr>
                <w:rStyle w:val="spanrvts0"/>
                <w:lang w:val="uk" w:eastAsia="uk"/>
              </w:rPr>
              <w:t>12 49 99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інші бензини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359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2710 20 90 00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інші нафтопродукти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359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2710 12 50 10 </w:t>
            </w:r>
            <w:r w:rsidRPr="00A75B78">
              <w:rPr>
                <w:rStyle w:val="spanrvts0"/>
                <w:lang w:val="uk" w:eastAsia="uk"/>
              </w:rPr>
              <w:br/>
              <w:t>2710 12 50 90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із вмістом свинцю більш як 0,013 г/л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359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2710 12 70 00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Паливо для реактивних двигунів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євро за 1000 </w:t>
            </w:r>
            <w:r w:rsidRPr="00A75B78">
              <w:rPr>
                <w:rStyle w:val="spanrvts0"/>
                <w:lang w:val="uk" w:eastAsia="uk"/>
              </w:rPr>
              <w:t>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45,36*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2710 12 90 00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Інші легкі дистиляти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359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Середні дистиляти: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2710 19 11 10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2710 19 11 20 </w:t>
            </w:r>
            <w:r w:rsidRPr="00A75B78">
              <w:rPr>
                <w:rStyle w:val="spanrvts0"/>
                <w:lang w:val="uk" w:eastAsia="uk"/>
              </w:rPr>
              <w:br/>
              <w:t>2710 19 11 90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для специфічних процесів переробки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359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2710 19 15 10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2710 19 15 20 </w:t>
            </w:r>
            <w:r w:rsidRPr="00A75B78">
              <w:rPr>
                <w:rStyle w:val="spanrvts0"/>
                <w:lang w:val="uk" w:eastAsia="uk"/>
              </w:rPr>
              <w:br/>
              <w:t>2710 19 15 90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для </w:t>
            </w:r>
            <w:r w:rsidRPr="00A75B78">
              <w:rPr>
                <w:rStyle w:val="spanrvts0"/>
                <w:lang w:val="uk" w:eastAsia="uk"/>
              </w:rPr>
              <w:t>хімічних перетворень у процесах, не зазначених у товарній категорії 2710 19 11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359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Гас: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2710 19 21 00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паливо для реактивних двигунів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33*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2710 19 25 00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інший гас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330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2710 19 29 00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Інші </w:t>
            </w:r>
            <w:r w:rsidRPr="00A75B78">
              <w:rPr>
                <w:rStyle w:val="spanrvts0"/>
                <w:lang w:val="uk" w:eastAsia="uk"/>
              </w:rPr>
              <w:t>середні дистиляти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330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2710 19 31 01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2710 19 31 10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2710 19 31 20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2710 19 31 30 </w:t>
            </w:r>
            <w:r w:rsidRPr="00A75B78">
              <w:rPr>
                <w:rStyle w:val="spanrvts0"/>
                <w:lang w:val="uk" w:eastAsia="uk"/>
              </w:rPr>
              <w:br/>
            </w:r>
            <w:r w:rsidRPr="00A75B78">
              <w:rPr>
                <w:rStyle w:val="spanrvts0"/>
                <w:lang w:val="uk" w:eastAsia="uk"/>
              </w:rPr>
              <w:lastRenderedPageBreak/>
              <w:t xml:space="preserve">2710 19 31 40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2710 19 35 01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2710 19 35 10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2710 19 35 20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2710 19 35 30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2710 19 35 40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2710 19 43 00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2710 19 46 00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2710 19 47 10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2710 19 47 90 </w:t>
            </w:r>
            <w:r w:rsidRPr="00A75B78">
              <w:rPr>
                <w:rStyle w:val="spanrvts0"/>
                <w:lang w:val="uk" w:eastAsia="uk"/>
              </w:rPr>
              <w:br/>
              <w:t>271</w:t>
            </w:r>
            <w:r w:rsidRPr="00A75B78">
              <w:rPr>
                <w:rStyle w:val="spanrvts0"/>
                <w:lang w:val="uk" w:eastAsia="uk"/>
              </w:rPr>
              <w:t xml:space="preserve">0 19 48 00 </w:t>
            </w:r>
            <w:r w:rsidRPr="00A75B78">
              <w:rPr>
                <w:rStyle w:val="spanrvts0"/>
                <w:lang w:val="uk" w:eastAsia="uk"/>
              </w:rPr>
              <w:br/>
              <w:t xml:space="preserve">2710 20 11 00 </w:t>
            </w:r>
            <w:r w:rsidRPr="00A75B78">
              <w:rPr>
                <w:rStyle w:val="spanrvts0"/>
                <w:lang w:val="uk" w:eastAsia="uk"/>
              </w:rPr>
              <w:br/>
              <w:t xml:space="preserve">2710 20 16 10 </w:t>
            </w:r>
            <w:r w:rsidRPr="00A75B78">
              <w:rPr>
                <w:rStyle w:val="spanrvts0"/>
                <w:lang w:val="uk" w:eastAsia="uk"/>
              </w:rPr>
              <w:br/>
              <w:t xml:space="preserve">2710 20 16 90 </w:t>
            </w:r>
            <w:r w:rsidRPr="00A75B78">
              <w:rPr>
                <w:rStyle w:val="spanrvts0"/>
                <w:lang w:val="uk" w:eastAsia="uk"/>
              </w:rPr>
              <w:br/>
              <w:t>2710 20 19 00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lastRenderedPageBreak/>
              <w:t>Важкі дистиляти (</w:t>
            </w:r>
            <w:proofErr w:type="spellStart"/>
            <w:r w:rsidRPr="00A75B78">
              <w:rPr>
                <w:rStyle w:val="spanrvts0"/>
                <w:lang w:val="uk" w:eastAsia="uk"/>
              </w:rPr>
              <w:t>газойль</w:t>
            </w:r>
            <w:proofErr w:type="spellEnd"/>
            <w:r w:rsidRPr="00A75B78">
              <w:rPr>
                <w:rStyle w:val="spanrvts0"/>
                <w:lang w:val="uk" w:eastAsia="uk"/>
              </w:rPr>
              <w:t>)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330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lastRenderedPageBreak/>
              <w:t xml:space="preserve">2710 19 62 00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2710 19 66 00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2710 19 67 00 </w:t>
            </w:r>
            <w:r w:rsidRPr="00A75B78">
              <w:rPr>
                <w:rStyle w:val="spanrvts0"/>
                <w:lang w:val="uk" w:eastAsia="uk"/>
              </w:rPr>
              <w:br/>
              <w:t xml:space="preserve">2710 20 32 00 </w:t>
            </w:r>
            <w:r w:rsidRPr="00A75B78">
              <w:rPr>
                <w:rStyle w:val="spanrvts0"/>
                <w:lang w:val="uk" w:eastAsia="uk"/>
              </w:rPr>
              <w:br/>
              <w:t>2710 20 38 00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Тільки паливо пічне побутове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330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2710 </w:t>
            </w:r>
            <w:r w:rsidRPr="00A75B78">
              <w:rPr>
                <w:rStyle w:val="spanrvts0"/>
                <w:lang w:val="uk" w:eastAsia="uk"/>
              </w:rPr>
              <w:t>19 51 00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Паливо рідке (мазут) для специфічних процесів переробки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330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2710 19 55 00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Паливо рідке (мазут) для хімічних перетворень у процесах, крім зазначених у товарній </w:t>
            </w:r>
            <w:proofErr w:type="spellStart"/>
            <w:r w:rsidRPr="00A75B78">
              <w:rPr>
                <w:rStyle w:val="spanrvts0"/>
                <w:lang w:val="uk" w:eastAsia="uk"/>
              </w:rPr>
              <w:t>підкатегорії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2710 19 51 00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330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2711 11 00 00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Скраплений газ природний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4,95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2711 12 11 00 </w:t>
            </w:r>
            <w:r w:rsidRPr="00A75B78">
              <w:rPr>
                <w:rStyle w:val="spanrvts0"/>
                <w:lang w:val="uk" w:eastAsia="uk"/>
              </w:rPr>
              <w:br/>
              <w:t xml:space="preserve">2711 12 19 00 </w:t>
            </w:r>
            <w:r w:rsidRPr="00A75B78">
              <w:rPr>
                <w:rStyle w:val="spanrvts0"/>
                <w:lang w:val="uk" w:eastAsia="uk"/>
              </w:rPr>
              <w:br/>
              <w:t xml:space="preserve">2711 12 91 00 </w:t>
            </w:r>
            <w:r w:rsidRPr="00A75B78">
              <w:rPr>
                <w:rStyle w:val="spanrvts0"/>
                <w:lang w:val="uk" w:eastAsia="uk"/>
              </w:rPr>
              <w:br/>
              <w:t xml:space="preserve">2711 12 93 00 </w:t>
            </w:r>
            <w:r w:rsidRPr="00A75B78">
              <w:rPr>
                <w:rStyle w:val="spanrvts0"/>
                <w:lang w:val="uk" w:eastAsia="uk"/>
              </w:rPr>
              <w:br/>
              <w:t xml:space="preserve">2711 12 94 00 </w:t>
            </w:r>
            <w:r w:rsidRPr="00A75B78">
              <w:rPr>
                <w:rStyle w:val="spanrvts0"/>
                <w:lang w:val="uk" w:eastAsia="uk"/>
              </w:rPr>
              <w:br/>
              <w:t xml:space="preserve">2711 12 97 00 </w:t>
            </w:r>
            <w:r w:rsidRPr="00A75B78">
              <w:rPr>
                <w:rStyle w:val="spanrvts0"/>
                <w:lang w:val="uk" w:eastAsia="uk"/>
              </w:rPr>
              <w:br/>
              <w:t xml:space="preserve">2711 13 10 00 </w:t>
            </w:r>
            <w:r w:rsidRPr="00A75B78">
              <w:rPr>
                <w:rStyle w:val="spanrvts0"/>
                <w:lang w:val="uk" w:eastAsia="uk"/>
              </w:rPr>
              <w:br/>
              <w:t xml:space="preserve">2711 13 30 00 </w:t>
            </w:r>
            <w:r w:rsidRPr="00A75B78">
              <w:rPr>
                <w:rStyle w:val="spanrvts0"/>
                <w:lang w:val="uk" w:eastAsia="uk"/>
              </w:rPr>
              <w:br/>
              <w:t xml:space="preserve">2711 13 91 00 </w:t>
            </w:r>
            <w:r w:rsidRPr="00A75B78">
              <w:rPr>
                <w:rStyle w:val="spanrvts0"/>
                <w:lang w:val="uk" w:eastAsia="uk"/>
              </w:rPr>
              <w:br/>
              <w:t xml:space="preserve">2711 13 97 00 </w:t>
            </w:r>
            <w:r w:rsidRPr="00A75B78">
              <w:rPr>
                <w:rStyle w:val="spanrvts0"/>
                <w:lang w:val="uk" w:eastAsia="uk"/>
              </w:rPr>
              <w:br/>
              <w:t xml:space="preserve">2711 14 00 00 </w:t>
            </w:r>
            <w:r w:rsidRPr="00A75B78">
              <w:rPr>
                <w:rStyle w:val="spanrvts0"/>
                <w:lang w:val="uk" w:eastAsia="uk"/>
              </w:rPr>
              <w:br/>
              <w:t>2711 19 00 00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Скраплений газ (пропан або</w:t>
            </w:r>
            <w:r w:rsidRPr="00A75B78">
              <w:rPr>
                <w:rStyle w:val="spanrvts0"/>
                <w:lang w:val="uk" w:eastAsia="uk"/>
              </w:rPr>
              <w:t xml:space="preserve"> суміш пропану з бутаном) та інші гази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250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2707 10 00 00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Бензол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359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lastRenderedPageBreak/>
              <w:t xml:space="preserve">2707 20 00 10 </w:t>
            </w:r>
            <w:r w:rsidRPr="00A75B78">
              <w:rPr>
                <w:rStyle w:val="spanrvts0"/>
                <w:lang w:val="uk" w:eastAsia="uk"/>
              </w:rPr>
              <w:br/>
              <w:t>2707 20 00 90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Толуол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359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2707 30 00 10 </w:t>
            </w:r>
            <w:r w:rsidRPr="00A75B78">
              <w:rPr>
                <w:rStyle w:val="spanrvts0"/>
                <w:lang w:val="uk" w:eastAsia="uk"/>
              </w:rPr>
              <w:br/>
              <w:t>2707 30 00 90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Ксилол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359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2901 10 00 90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Вуглеводні</w:t>
            </w:r>
            <w:r w:rsidRPr="00A75B78">
              <w:rPr>
                <w:rStyle w:val="spanrvts0"/>
                <w:lang w:val="uk" w:eastAsia="uk"/>
              </w:rPr>
              <w:t xml:space="preserve"> ациклічні насичені (крім бутану, ізобутану)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359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2901 10 00 10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Бутан, ізобутан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250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2905 11 00 00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Метанол технічний (метиловий спирт)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359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2909 19 10 00 </w:t>
            </w:r>
            <w:r w:rsidRPr="00A75B78">
              <w:rPr>
                <w:rStyle w:val="spanrvts0"/>
                <w:lang w:val="uk" w:eastAsia="uk"/>
              </w:rPr>
              <w:br/>
              <w:t xml:space="preserve">2909 19 90 10 </w:t>
            </w:r>
            <w:r w:rsidRPr="00A75B78">
              <w:rPr>
                <w:rStyle w:val="spanrvts0"/>
                <w:lang w:val="uk" w:eastAsia="uk"/>
              </w:rPr>
              <w:br/>
              <w:t xml:space="preserve">2909 19 90 20 </w:t>
            </w:r>
            <w:r w:rsidRPr="00A75B78">
              <w:rPr>
                <w:rStyle w:val="spanrvts0"/>
                <w:lang w:val="uk" w:eastAsia="uk"/>
              </w:rPr>
              <w:br/>
              <w:t xml:space="preserve">2909 19 90 </w:t>
            </w:r>
            <w:r w:rsidRPr="00A75B78">
              <w:rPr>
                <w:rStyle w:val="spanrvts0"/>
                <w:lang w:val="uk" w:eastAsia="uk"/>
              </w:rPr>
              <w:t>90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Інші ефіри прості, </w:t>
            </w:r>
            <w:proofErr w:type="spellStart"/>
            <w:r w:rsidRPr="00A75B78">
              <w:rPr>
                <w:rStyle w:val="spanrvts0"/>
                <w:lang w:val="uk" w:eastAsia="uk"/>
              </w:rPr>
              <w:t>ефіроспирти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, </w:t>
            </w:r>
            <w:proofErr w:type="spellStart"/>
            <w:r w:rsidRPr="00A75B78">
              <w:rPr>
                <w:rStyle w:val="spanrvts0"/>
                <w:lang w:val="uk" w:eastAsia="uk"/>
              </w:rPr>
              <w:t>ефірофеноли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, </w:t>
            </w:r>
            <w:proofErr w:type="spellStart"/>
            <w:r w:rsidRPr="00A75B78">
              <w:rPr>
                <w:rStyle w:val="spanrvts0"/>
                <w:lang w:val="uk" w:eastAsia="uk"/>
              </w:rPr>
              <w:t>ефіроспиртофеноли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, пероксиди спиртів, пероксиди простих ефірів, пероксиди кетонів (визначеного або невизначеного хімічного складу) та їх </w:t>
            </w:r>
            <w:proofErr w:type="spellStart"/>
            <w:r w:rsidRPr="00A75B78">
              <w:rPr>
                <w:rStyle w:val="spanrvts0"/>
                <w:lang w:val="uk" w:eastAsia="uk"/>
              </w:rPr>
              <w:t>галогеновані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, </w:t>
            </w:r>
            <w:proofErr w:type="spellStart"/>
            <w:r w:rsidRPr="00A75B78">
              <w:rPr>
                <w:rStyle w:val="spanrvts0"/>
                <w:lang w:val="uk" w:eastAsia="uk"/>
              </w:rPr>
              <w:t>сульфовані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, нітровані або </w:t>
            </w:r>
            <w:proofErr w:type="spellStart"/>
            <w:r w:rsidRPr="00A75B78">
              <w:rPr>
                <w:rStyle w:val="spanrvts0"/>
                <w:lang w:val="uk" w:eastAsia="uk"/>
              </w:rPr>
              <w:t>нітрозовані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похідні, крім </w:t>
            </w:r>
            <w:proofErr w:type="spellStart"/>
            <w:r w:rsidRPr="00A75B78">
              <w:rPr>
                <w:rStyle w:val="spanrvts0"/>
                <w:lang w:val="uk" w:eastAsia="uk"/>
              </w:rPr>
              <w:t>диетилов</w:t>
            </w:r>
            <w:r w:rsidRPr="00A75B78">
              <w:rPr>
                <w:rStyle w:val="spanrvts0"/>
                <w:lang w:val="uk" w:eastAsia="uk"/>
              </w:rPr>
              <w:t>ого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ефіру (код </w:t>
            </w:r>
            <w:r w:rsidRPr="00A75B78">
              <w:rPr>
                <w:rStyle w:val="arvts96"/>
                <w:color w:val="auto"/>
                <w:lang w:val="uk" w:eastAsia="uk"/>
              </w:rPr>
              <w:t>2909 11 00 00</w:t>
            </w:r>
            <w:r w:rsidRPr="00A75B78">
              <w:rPr>
                <w:rStyle w:val="spanrvts0"/>
                <w:lang w:val="uk" w:eastAsia="uk"/>
              </w:rPr>
              <w:t xml:space="preserve"> згідно з УКТЗЕД) Антидетонатори, антиоксиданти, інгібітори смолоутворення, загусники, антикорозійні препарати та інші готові присадки, добавки для нафтопродуктів (включаючи бензин) або для інших рідин, які використовують з тією самою метою, що і нафтопрод</w:t>
            </w:r>
            <w:r w:rsidRPr="00A75B78">
              <w:rPr>
                <w:rStyle w:val="spanrvts0"/>
                <w:lang w:val="uk" w:eastAsia="uk"/>
              </w:rPr>
              <w:t>укти: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359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3811 11 10 00 </w:t>
            </w:r>
            <w:r w:rsidRPr="00A75B78">
              <w:rPr>
                <w:rStyle w:val="spanrvts0"/>
                <w:lang w:val="uk" w:eastAsia="uk"/>
              </w:rPr>
              <w:br/>
              <w:t xml:space="preserve">3811 11 90 00 </w:t>
            </w:r>
            <w:r w:rsidRPr="00A75B78">
              <w:rPr>
                <w:rStyle w:val="spanrvts0"/>
                <w:lang w:val="uk" w:eastAsia="uk"/>
              </w:rPr>
              <w:br/>
              <w:t>3811 19 00 00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антидетонатори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359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3811 90 00 00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Інші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359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3826 00 10 00 </w:t>
            </w:r>
            <w:r w:rsidRPr="00A75B78">
              <w:rPr>
                <w:rStyle w:val="spanrvts0"/>
                <w:lang w:val="uk" w:eastAsia="uk"/>
              </w:rPr>
              <w:br/>
              <w:t>3826 00 90 00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proofErr w:type="spellStart"/>
            <w:r w:rsidRPr="00A75B78">
              <w:rPr>
                <w:rStyle w:val="spanrvts0"/>
                <w:lang w:val="uk" w:eastAsia="uk"/>
              </w:rPr>
              <w:t>Біодизель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та його суміші (що не містять або містять менш як 70 мас. </w:t>
            </w:r>
            <w:r w:rsidRPr="00A75B78">
              <w:rPr>
                <w:rStyle w:val="spanrvts0"/>
                <w:lang w:val="uk" w:eastAsia="uk"/>
              </w:rPr>
              <w:t xml:space="preserve">% нафти або нафтопродуктів, одержаних з бітумінозних порід) на основі </w:t>
            </w:r>
            <w:proofErr w:type="spellStart"/>
            <w:r w:rsidRPr="00A75B78">
              <w:rPr>
                <w:rStyle w:val="spanrvts0"/>
                <w:lang w:val="uk" w:eastAsia="uk"/>
              </w:rPr>
              <w:t>моноалкільних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складних ефірів жирних кислот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250,75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3824 99 92 20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Паливо моторне альтернативне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272,4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2710 19 62 00-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2710 19 66 00, </w:t>
            </w:r>
            <w:r w:rsidRPr="00A75B78">
              <w:rPr>
                <w:rStyle w:val="spanrvts0"/>
                <w:lang w:val="uk" w:eastAsia="uk"/>
              </w:rPr>
              <w:br/>
            </w:r>
            <w:r w:rsidRPr="00A75B78">
              <w:rPr>
                <w:rStyle w:val="spanrvts0"/>
                <w:lang w:val="uk" w:eastAsia="uk"/>
              </w:rPr>
              <w:t xml:space="preserve">2710 19 67 00, </w:t>
            </w:r>
            <w:r w:rsidRPr="00A75B78">
              <w:rPr>
                <w:rStyle w:val="spanrvts0"/>
                <w:lang w:val="uk" w:eastAsia="uk"/>
              </w:rPr>
              <w:br/>
            </w:r>
            <w:r w:rsidRPr="00A75B78">
              <w:rPr>
                <w:rStyle w:val="spanrvts0"/>
                <w:lang w:val="uk" w:eastAsia="uk"/>
              </w:rPr>
              <w:lastRenderedPageBreak/>
              <w:t xml:space="preserve">2710 19 71 00,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2710 19 75 00,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2710 19 99 00, </w:t>
            </w:r>
            <w:r w:rsidRPr="00A75B78">
              <w:rPr>
                <w:rStyle w:val="spanrvts0"/>
                <w:lang w:val="uk" w:eastAsia="uk"/>
              </w:rPr>
              <w:br/>
              <w:t xml:space="preserve">2710 20 32 00, </w:t>
            </w:r>
            <w:r w:rsidRPr="00A75B78">
              <w:rPr>
                <w:rStyle w:val="spanrvts0"/>
                <w:lang w:val="uk" w:eastAsia="uk"/>
              </w:rPr>
              <w:br/>
              <w:t>2710 20 38 00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lastRenderedPageBreak/>
              <w:t xml:space="preserve">Палива рідкі на основі </w:t>
            </w:r>
            <w:proofErr w:type="spellStart"/>
            <w:r w:rsidRPr="00A75B78">
              <w:rPr>
                <w:rStyle w:val="spanrvts0"/>
                <w:lang w:val="uk" w:eastAsia="uk"/>
              </w:rPr>
              <w:t>газойлів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(дизпаливо), менш як 85 об. % яких, включаючи витрати, </w:t>
            </w:r>
            <w:proofErr w:type="spellStart"/>
            <w:r w:rsidRPr="00A75B78">
              <w:rPr>
                <w:rStyle w:val="spanrvts0"/>
                <w:lang w:val="uk" w:eastAsia="uk"/>
              </w:rPr>
              <w:t>переганяється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при </w:t>
            </w:r>
            <w:r w:rsidRPr="00A75B78">
              <w:rPr>
                <w:rStyle w:val="spanrvts0"/>
                <w:lang w:val="uk" w:eastAsia="uk"/>
              </w:rPr>
              <w:lastRenderedPageBreak/>
              <w:t>температурі 350° С (за методом ISO 3405, еквівалентним ме</w:t>
            </w:r>
            <w:r w:rsidRPr="00A75B78">
              <w:rPr>
                <w:rStyle w:val="spanrvts0"/>
                <w:lang w:val="uk" w:eastAsia="uk"/>
              </w:rPr>
              <w:t xml:space="preserve">тоду ASTM D 86), крім палива пічного побутового, базових олив та інших мастильних матеріалів, та інших дистилятів, які під час фракційної розгонки за методом ISO 3405 (або аналогічним методом ASTM D 86) при температурі 350° С та атмосферному тиску </w:t>
            </w:r>
            <w:proofErr w:type="spellStart"/>
            <w:r w:rsidRPr="00A75B78">
              <w:rPr>
                <w:rStyle w:val="spanrvts0"/>
                <w:lang w:val="uk" w:eastAsia="uk"/>
              </w:rPr>
              <w:t>переганя</w:t>
            </w:r>
            <w:r w:rsidRPr="00A75B78">
              <w:rPr>
                <w:rStyle w:val="spanrvts0"/>
                <w:lang w:val="uk" w:eastAsia="uk"/>
              </w:rPr>
              <w:t>ються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не більше 35 об. %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lastRenderedPageBreak/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359</w:t>
            </w:r>
          </w:p>
        </w:tc>
      </w:tr>
      <w:tr w:rsidR="00A75B78" w:rsidRPr="00A75B78">
        <w:trPr>
          <w:jc w:val="center"/>
        </w:trPr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lastRenderedPageBreak/>
              <w:t>3814 00 90 90</w:t>
            </w:r>
          </w:p>
        </w:tc>
        <w:tc>
          <w:tcPr>
            <w:tcW w:w="20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Тільки розчинники або розріджувачі на основі метанолу; інші готові суміші на основі метанолу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359</w:t>
            </w:r>
          </w:p>
        </w:tc>
      </w:tr>
    </w:tbl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25" w:name="n27"/>
      <w:bookmarkEnd w:id="25"/>
      <w:r w:rsidRPr="00A75B78">
        <w:rPr>
          <w:rStyle w:val="spanrvts82"/>
          <w:lang w:val="uk" w:eastAsia="uk"/>
        </w:rPr>
        <w:t>__________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26" w:name="n28"/>
      <w:bookmarkEnd w:id="26"/>
      <w:r w:rsidRPr="00A75B78">
        <w:rPr>
          <w:rStyle w:val="spanrvts82"/>
          <w:lang w:val="uk" w:eastAsia="uk"/>
        </w:rPr>
        <w:t>* До ставки податку застосовується підвищувальний коефіцієнт 10</w:t>
      </w:r>
      <w:r w:rsidRPr="00A75B78">
        <w:rPr>
          <w:rStyle w:val="spanrvts82"/>
          <w:lang w:val="uk" w:eastAsia="uk"/>
        </w:rPr>
        <w:t xml:space="preserve"> у разі: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27" w:name="n29"/>
      <w:bookmarkEnd w:id="27"/>
      <w:r w:rsidRPr="00A75B78">
        <w:rPr>
          <w:rStyle w:val="spanrvts82"/>
          <w:lang w:val="uk" w:eastAsia="uk"/>
        </w:rPr>
        <w:t>ввезення на митну територію України пального;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28" w:name="n30"/>
      <w:bookmarkEnd w:id="28"/>
      <w:r w:rsidRPr="00A75B78">
        <w:rPr>
          <w:rStyle w:val="spanrvts82"/>
          <w:lang w:val="uk" w:eastAsia="uk"/>
        </w:rPr>
        <w:t>реалізації виробником виробленого в Україні пального.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29" w:name="n31"/>
      <w:bookmarkEnd w:id="29"/>
      <w:r w:rsidRPr="00A75B78">
        <w:rPr>
          <w:rStyle w:val="spanrvts82"/>
          <w:lang w:val="uk" w:eastAsia="uk"/>
        </w:rPr>
        <w:t>Підвищувальний коефіцієнт 10 не застосовується суб’єктами господарювання, які відповідно до пункту 229.8 статті 229 цього Кодексу видали податковий</w:t>
      </w:r>
      <w:r w:rsidRPr="00A75B78">
        <w:rPr>
          <w:rStyle w:val="spanrvts82"/>
          <w:lang w:val="uk" w:eastAsia="uk"/>
        </w:rPr>
        <w:t xml:space="preserve"> вексель.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30" w:name="n32"/>
      <w:bookmarkEnd w:id="30"/>
      <w:r w:rsidRPr="00A75B78">
        <w:rPr>
          <w:rStyle w:val="spanrvts82"/>
          <w:lang w:val="uk" w:eastAsia="uk"/>
        </w:rPr>
        <w:t>Товари (продукція), що використовуються як пальне для заправлення транспортних засобів, обладнання або пристроїв з двигунами внутрішнього згоряння із запалюванням від стиснення, з двигунами внутрішнього згоряння з іскровим запалюванням, з двигуна</w:t>
      </w:r>
      <w:r w:rsidRPr="00A75B78">
        <w:rPr>
          <w:rStyle w:val="spanrvts82"/>
          <w:lang w:val="uk" w:eastAsia="uk"/>
        </w:rPr>
        <w:t xml:space="preserve">ми внутрішнього згоряння з </w:t>
      </w:r>
      <w:proofErr w:type="spellStart"/>
      <w:r w:rsidRPr="00A75B78">
        <w:rPr>
          <w:rStyle w:val="spanrvts82"/>
          <w:lang w:val="uk" w:eastAsia="uk"/>
        </w:rPr>
        <w:t>кривошипно</w:t>
      </w:r>
      <w:proofErr w:type="spellEnd"/>
      <w:r w:rsidRPr="00A75B78">
        <w:rPr>
          <w:rStyle w:val="spanrvts82"/>
          <w:lang w:val="uk" w:eastAsia="uk"/>
        </w:rPr>
        <w:t xml:space="preserve">-шатунним механізмом, коди яких згідно з УКТЗЕД не зазначені у цьому підпункті (крім газу природного у газоподібному стані за кодом </w:t>
      </w:r>
      <w:r w:rsidRPr="00A75B78">
        <w:rPr>
          <w:rStyle w:val="arvts106"/>
          <w:color w:val="auto"/>
          <w:lang w:val="uk" w:eastAsia="uk"/>
        </w:rPr>
        <w:t>2711 21 00 00</w:t>
      </w:r>
      <w:r w:rsidRPr="00A75B78">
        <w:rPr>
          <w:rStyle w:val="spanrvts82"/>
          <w:lang w:val="uk" w:eastAsia="uk"/>
        </w:rPr>
        <w:t xml:space="preserve"> згідно з УКТЗЕД), оподатковуються за ставкою акцизного податку 359 євро за 1000 літрів".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31" w:name="n33"/>
      <w:bookmarkEnd w:id="31"/>
      <w:r w:rsidRPr="00A75B78">
        <w:rPr>
          <w:rStyle w:val="spanrvts0"/>
          <w:lang w:val="uk" w:eastAsia="uk"/>
        </w:rPr>
        <w:t xml:space="preserve">3. У </w:t>
      </w:r>
      <w:r w:rsidRPr="00A75B78">
        <w:rPr>
          <w:rStyle w:val="arvts96"/>
          <w:color w:val="auto"/>
          <w:lang w:val="uk" w:eastAsia="uk"/>
        </w:rPr>
        <w:t>підрозділі 5</w:t>
      </w:r>
      <w:r w:rsidRPr="00A75B78">
        <w:rPr>
          <w:rStyle w:val="spanrvts0"/>
          <w:lang w:val="uk" w:eastAsia="uk"/>
        </w:rPr>
        <w:t xml:space="preserve"> розділу XX "Перехідні положення":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32" w:name="n34"/>
      <w:bookmarkEnd w:id="32"/>
      <w:r w:rsidRPr="00A75B78">
        <w:rPr>
          <w:rStyle w:val="spanrvts0"/>
          <w:lang w:val="uk" w:eastAsia="uk"/>
        </w:rPr>
        <w:t xml:space="preserve">1) </w:t>
      </w:r>
      <w:r w:rsidRPr="00A75B78">
        <w:rPr>
          <w:rStyle w:val="arvts96"/>
          <w:color w:val="auto"/>
          <w:lang w:val="uk" w:eastAsia="uk"/>
        </w:rPr>
        <w:t>пункт 47</w:t>
      </w:r>
      <w:r w:rsidRPr="00A75B78">
        <w:rPr>
          <w:rStyle w:val="spanrvts0"/>
          <w:lang w:val="uk" w:eastAsia="uk"/>
        </w:rPr>
        <w:t xml:space="preserve"> викласти в такій редакції: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33" w:name="n35"/>
      <w:bookmarkEnd w:id="33"/>
      <w:r w:rsidRPr="00A75B78">
        <w:rPr>
          <w:rStyle w:val="spanrvts0"/>
          <w:lang w:val="uk" w:eastAsia="uk"/>
        </w:rPr>
        <w:t>"47. У період дії воєнного стану в Україні, введеного Указом Президента України "Про введення воєнного стану в Україні" від 24 лютого 2022</w:t>
      </w:r>
      <w:r w:rsidRPr="00A75B78">
        <w:rPr>
          <w:rStyle w:val="spanrvts0"/>
          <w:lang w:val="uk" w:eastAsia="uk"/>
        </w:rPr>
        <w:t xml:space="preserve"> року </w:t>
      </w:r>
      <w:r w:rsidRPr="00A75B78">
        <w:rPr>
          <w:rStyle w:val="arvts96"/>
          <w:color w:val="auto"/>
          <w:lang w:val="uk" w:eastAsia="uk"/>
        </w:rPr>
        <w:t>№ 64/2022</w:t>
      </w:r>
      <w:r w:rsidRPr="00A75B78">
        <w:rPr>
          <w:rStyle w:val="spanrvts0"/>
          <w:lang w:val="uk" w:eastAsia="uk"/>
        </w:rPr>
        <w:t xml:space="preserve">, затвердженим Законом України "Про затвердження Указу Президента України "Про введення воєнного стану в Україні" від 24 лютого 2022 року </w:t>
      </w:r>
      <w:r w:rsidRPr="00A75B78">
        <w:rPr>
          <w:rStyle w:val="arvts96"/>
          <w:color w:val="auto"/>
          <w:lang w:val="uk" w:eastAsia="uk"/>
        </w:rPr>
        <w:t>№ 2102-IX</w:t>
      </w:r>
      <w:r w:rsidRPr="00A75B78">
        <w:rPr>
          <w:rStyle w:val="spanrvts0"/>
          <w:lang w:val="uk" w:eastAsia="uk"/>
        </w:rPr>
        <w:t xml:space="preserve">, та протягом 30 днів з дня його припинення або скасування, а для випадків, передбачених абзацом третім цього пункту щодо зберігання пального у </w:t>
      </w:r>
      <w:proofErr w:type="spellStart"/>
      <w:r w:rsidRPr="00A75B78">
        <w:rPr>
          <w:rStyle w:val="spanrvts0"/>
          <w:lang w:val="uk" w:eastAsia="uk"/>
        </w:rPr>
        <w:t>ємностях</w:t>
      </w:r>
      <w:proofErr w:type="spellEnd"/>
      <w:r w:rsidRPr="00A75B78">
        <w:rPr>
          <w:rStyle w:val="spanrvts0"/>
          <w:lang w:val="uk" w:eastAsia="uk"/>
        </w:rPr>
        <w:t xml:space="preserve"> загальною місткістю від 2000 літрів до 5000 літрів, -</w:t>
      </w:r>
      <w:r w:rsidRPr="00A75B78">
        <w:rPr>
          <w:rStyle w:val="spanrvts0"/>
          <w:lang w:val="uk" w:eastAsia="uk"/>
        </w:rPr>
        <w:t xml:space="preserve"> до визначеної дати припинення можливості бойових дій або дати завершення бойових дій, на доповнення до критеріїв, визначених підпунктом 14.1.6 пункту 14.1 статті 14 цього Кодексу, не є акцизним складом: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34" w:name="n36"/>
      <w:bookmarkEnd w:id="34"/>
      <w:r w:rsidRPr="00A75B78">
        <w:rPr>
          <w:rStyle w:val="spanrvts0"/>
          <w:lang w:val="uk" w:eastAsia="uk"/>
        </w:rPr>
        <w:t>приміщення або територія, у тому числі платника акци</w:t>
      </w:r>
      <w:r w:rsidRPr="00A75B78">
        <w:rPr>
          <w:rStyle w:val="spanrvts0"/>
          <w:lang w:val="uk" w:eastAsia="uk"/>
        </w:rPr>
        <w:t xml:space="preserve">зного податку з реалізації пального, у кожному (на кожній) з яких загальна місткість розташованих </w:t>
      </w:r>
      <w:proofErr w:type="spellStart"/>
      <w:r w:rsidRPr="00A75B78">
        <w:rPr>
          <w:rStyle w:val="spanrvts0"/>
          <w:lang w:val="uk" w:eastAsia="uk"/>
        </w:rPr>
        <w:t>ємностей</w:t>
      </w:r>
      <w:proofErr w:type="spellEnd"/>
      <w:r w:rsidRPr="00A75B78">
        <w:rPr>
          <w:rStyle w:val="spanrvts0"/>
          <w:lang w:val="uk" w:eastAsia="uk"/>
        </w:rPr>
        <w:t xml:space="preserve"> для зберігання пального, що використовується виключно для заправлення </w:t>
      </w:r>
      <w:proofErr w:type="spellStart"/>
      <w:r w:rsidRPr="00A75B78">
        <w:rPr>
          <w:rStyle w:val="spanrvts0"/>
          <w:lang w:val="uk" w:eastAsia="uk"/>
        </w:rPr>
        <w:t>електрогенераторних</w:t>
      </w:r>
      <w:proofErr w:type="spellEnd"/>
      <w:r w:rsidRPr="00A75B78">
        <w:rPr>
          <w:rStyle w:val="spanrvts0"/>
          <w:lang w:val="uk" w:eastAsia="uk"/>
        </w:rPr>
        <w:t xml:space="preserve"> установок, не перевищує 2000 літрів;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35" w:name="n37"/>
      <w:bookmarkEnd w:id="35"/>
      <w:r w:rsidRPr="00A75B78">
        <w:rPr>
          <w:rStyle w:val="spanrvts0"/>
          <w:lang w:val="uk" w:eastAsia="uk"/>
        </w:rPr>
        <w:t>приміщення або територ</w:t>
      </w:r>
      <w:r w:rsidRPr="00A75B78">
        <w:rPr>
          <w:rStyle w:val="spanrvts0"/>
          <w:lang w:val="uk" w:eastAsia="uk"/>
        </w:rPr>
        <w:t>ія, у тому числі платника акцизного податку з реалізації пального (за винятком платників, які здійснюють діяльність з виробництва, оптової та роздрібної торгівлі пальним, його зберігання (крім зберігання виключно для потреб власного споживання та/або проми</w:t>
      </w:r>
      <w:r w:rsidRPr="00A75B78">
        <w:rPr>
          <w:rStyle w:val="spanrvts0"/>
          <w:lang w:val="uk" w:eastAsia="uk"/>
        </w:rPr>
        <w:t xml:space="preserve">слової переробки), які розташовані/знаходяться на територіях можливих бойових дій (для яких не визначена дата припинення можливості бойових дій), територіях активних бойових дій (для яких не визначена дата завершення бойових дій), включених до </w:t>
      </w:r>
      <w:r w:rsidRPr="00A75B78">
        <w:rPr>
          <w:rStyle w:val="arvts96"/>
          <w:color w:val="auto"/>
          <w:lang w:val="uk" w:eastAsia="uk"/>
        </w:rPr>
        <w:t>Переліку територій, на яких ведуться (велися) бойові дії або тимчасово окупованих Російською Федерацією</w:t>
      </w:r>
      <w:r w:rsidRPr="00A75B78">
        <w:rPr>
          <w:rStyle w:val="spanrvts0"/>
          <w:lang w:val="uk" w:eastAsia="uk"/>
        </w:rPr>
        <w:t xml:space="preserve">, у кожному (на </w:t>
      </w:r>
      <w:r w:rsidRPr="00A75B78">
        <w:rPr>
          <w:rStyle w:val="spanrvts0"/>
          <w:lang w:val="uk" w:eastAsia="uk"/>
        </w:rPr>
        <w:lastRenderedPageBreak/>
        <w:t xml:space="preserve">кожній) з яких загальна місткість розташованих </w:t>
      </w:r>
      <w:proofErr w:type="spellStart"/>
      <w:r w:rsidRPr="00A75B78">
        <w:rPr>
          <w:rStyle w:val="spanrvts0"/>
          <w:lang w:val="uk" w:eastAsia="uk"/>
        </w:rPr>
        <w:t>ємностей</w:t>
      </w:r>
      <w:proofErr w:type="spellEnd"/>
      <w:r w:rsidRPr="00A75B78">
        <w:rPr>
          <w:rStyle w:val="spanrvts0"/>
          <w:lang w:val="uk" w:eastAsia="uk"/>
        </w:rPr>
        <w:t xml:space="preserve"> для зберіга</w:t>
      </w:r>
      <w:r w:rsidRPr="00A75B78">
        <w:rPr>
          <w:rStyle w:val="spanrvts0"/>
          <w:lang w:val="uk" w:eastAsia="uk"/>
        </w:rPr>
        <w:t xml:space="preserve">ння пального, що використовується виключно для заправлення </w:t>
      </w:r>
      <w:proofErr w:type="spellStart"/>
      <w:r w:rsidRPr="00A75B78">
        <w:rPr>
          <w:rStyle w:val="spanrvts0"/>
          <w:lang w:val="uk" w:eastAsia="uk"/>
        </w:rPr>
        <w:t>електрогенераторних</w:t>
      </w:r>
      <w:proofErr w:type="spellEnd"/>
      <w:r w:rsidRPr="00A75B78">
        <w:rPr>
          <w:rStyle w:val="spanrvts0"/>
          <w:lang w:val="uk" w:eastAsia="uk"/>
        </w:rPr>
        <w:t xml:space="preserve"> установок, не перевищує 5000 літрів. Перелік територій, на яких ведуться (велися) бойові дії або тимчасово окупованих Російською Федерацією, визначається у встановленому Кабінет</w:t>
      </w:r>
      <w:r w:rsidRPr="00A75B78">
        <w:rPr>
          <w:rStyle w:val="spanrvts0"/>
          <w:lang w:val="uk" w:eastAsia="uk"/>
        </w:rPr>
        <w:t>ом Міністрів України порядку;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36" w:name="n38"/>
      <w:bookmarkEnd w:id="36"/>
      <w:r w:rsidRPr="00A75B78">
        <w:rPr>
          <w:rStyle w:val="spanrvts0"/>
          <w:lang w:val="uk" w:eastAsia="uk"/>
        </w:rPr>
        <w:t>приміщення або територія, у тому числі платника акцизного податку з реалізації пального, у кожному (на кожній) з яких виконуються умови, визначені абзацами другим і третім цього пункту, та одночасно зберігається або реалізуєть</w:t>
      </w:r>
      <w:r w:rsidRPr="00A75B78">
        <w:rPr>
          <w:rStyle w:val="spanrvts0"/>
          <w:lang w:val="uk" w:eastAsia="uk"/>
        </w:rPr>
        <w:t>ся пальне у споживчій тарі ємністю до 5 літрів включно, отримане від виробника або особи, яка здійснила розлив пального у таку тару.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37" w:name="n39"/>
      <w:bookmarkEnd w:id="37"/>
      <w:r w:rsidRPr="00A75B78">
        <w:rPr>
          <w:rStyle w:val="spanrvts0"/>
          <w:lang w:val="uk" w:eastAsia="uk"/>
        </w:rPr>
        <w:t>Положення абзаців другого і третього цього пункту застосовуються за умови: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38" w:name="n40"/>
      <w:bookmarkEnd w:id="38"/>
      <w:r w:rsidRPr="00A75B78">
        <w:rPr>
          <w:rStyle w:val="spanrvts0"/>
          <w:lang w:val="uk" w:eastAsia="uk"/>
        </w:rPr>
        <w:t>забезпечення суб’єктом господарювання використан</w:t>
      </w:r>
      <w:r w:rsidRPr="00A75B78">
        <w:rPr>
          <w:rStyle w:val="spanrvts0"/>
          <w:lang w:val="uk" w:eastAsia="uk"/>
        </w:rPr>
        <w:t xml:space="preserve">ня зазначених обсягів пального виключно для заправлення </w:t>
      </w:r>
      <w:proofErr w:type="spellStart"/>
      <w:r w:rsidRPr="00A75B78">
        <w:rPr>
          <w:rStyle w:val="spanrvts0"/>
          <w:lang w:val="uk" w:eastAsia="uk"/>
        </w:rPr>
        <w:t>електрогенераторних</w:t>
      </w:r>
      <w:proofErr w:type="spellEnd"/>
      <w:r w:rsidRPr="00A75B78">
        <w:rPr>
          <w:rStyle w:val="spanrvts0"/>
          <w:lang w:val="uk" w:eastAsia="uk"/>
        </w:rPr>
        <w:t xml:space="preserve"> установок та ведення окремого обліку пального, яке отримано та використано для їх заправлення;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39" w:name="n41"/>
      <w:bookmarkEnd w:id="39"/>
      <w:r w:rsidRPr="00A75B78">
        <w:rPr>
          <w:rStyle w:val="spanrvts0"/>
          <w:lang w:val="uk" w:eastAsia="uk"/>
        </w:rPr>
        <w:t>здійснення розрахунків за придбане для таких потреб пальне виключно у безготівковій ф</w:t>
      </w:r>
      <w:r w:rsidRPr="00A75B78">
        <w:rPr>
          <w:rStyle w:val="spanrvts0"/>
          <w:lang w:val="uk" w:eastAsia="uk"/>
        </w:rPr>
        <w:t>ормі.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40" w:name="n42"/>
      <w:bookmarkEnd w:id="40"/>
      <w:r w:rsidRPr="00A75B78">
        <w:rPr>
          <w:rStyle w:val="spanrvts0"/>
          <w:lang w:val="uk" w:eastAsia="uk"/>
        </w:rPr>
        <w:t xml:space="preserve">За умови дотримання вимог, визначених цим пунктом, отримане для заправлення </w:t>
      </w:r>
      <w:proofErr w:type="spellStart"/>
      <w:r w:rsidRPr="00A75B78">
        <w:rPr>
          <w:rStyle w:val="spanrvts0"/>
          <w:lang w:val="uk" w:eastAsia="uk"/>
        </w:rPr>
        <w:t>електрогенераторних</w:t>
      </w:r>
      <w:proofErr w:type="spellEnd"/>
      <w:r w:rsidRPr="00A75B78">
        <w:rPr>
          <w:rStyle w:val="spanrvts0"/>
          <w:lang w:val="uk" w:eastAsia="uk"/>
        </w:rPr>
        <w:t xml:space="preserve"> установок пальне не враховується при застосуванні визначеного підпунктом 14.1.6 пункту 14.1 статті 14 цього Кодексу критерію щодо </w:t>
      </w:r>
      <w:proofErr w:type="spellStart"/>
      <w:r w:rsidRPr="00A75B78">
        <w:rPr>
          <w:rStyle w:val="spanrvts0"/>
          <w:lang w:val="uk" w:eastAsia="uk"/>
        </w:rPr>
        <w:t>неперевищення</w:t>
      </w:r>
      <w:proofErr w:type="spellEnd"/>
      <w:r w:rsidRPr="00A75B78">
        <w:rPr>
          <w:rStyle w:val="spanrvts0"/>
          <w:lang w:val="uk" w:eastAsia="uk"/>
        </w:rPr>
        <w:t xml:space="preserve"> 1000 кубіч</w:t>
      </w:r>
      <w:r w:rsidRPr="00A75B78">
        <w:rPr>
          <w:rStyle w:val="spanrvts0"/>
          <w:lang w:val="uk" w:eastAsia="uk"/>
        </w:rPr>
        <w:t>них метрів обсягів отримання пального таким суб’єктом господарювання протягом календарного року";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41" w:name="n43"/>
      <w:bookmarkEnd w:id="41"/>
      <w:r w:rsidRPr="00A75B78">
        <w:rPr>
          <w:rStyle w:val="spanrvts0"/>
          <w:lang w:val="uk" w:eastAsia="uk"/>
        </w:rPr>
        <w:t>2) доповнити пунктом 48 такого змісту: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42" w:name="n44"/>
      <w:bookmarkEnd w:id="42"/>
      <w:r w:rsidRPr="00A75B78">
        <w:rPr>
          <w:rStyle w:val="spanrvts0"/>
          <w:lang w:val="uk" w:eastAsia="uk"/>
        </w:rPr>
        <w:t>"48. З 1 вересня 2024 року до 31 грудня 2027 року включно встановити ставки акцизного податку на такі товари: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730"/>
        <w:gridCol w:w="2341"/>
        <w:gridCol w:w="1425"/>
        <w:gridCol w:w="1222"/>
        <w:gridCol w:w="1017"/>
        <w:gridCol w:w="1017"/>
        <w:gridCol w:w="1221"/>
      </w:tblGrid>
      <w:tr w:rsidR="00A75B78" w:rsidRPr="00A75B78">
        <w:trPr>
          <w:jc w:val="center"/>
        </w:trPr>
        <w:tc>
          <w:tcPr>
            <w:tcW w:w="850" w:type="pct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22" w:type="dxa"/>
              <w:left w:w="20" w:type="dxa"/>
              <w:bottom w:w="22" w:type="dxa"/>
              <w:right w:w="22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bookmarkStart w:id="43" w:name="n45"/>
            <w:bookmarkEnd w:id="43"/>
            <w:r w:rsidRPr="00A75B78">
              <w:rPr>
                <w:rStyle w:val="spanrvts0"/>
                <w:lang w:val="uk" w:eastAsia="uk"/>
              </w:rPr>
              <w:t>Код товар</w:t>
            </w:r>
            <w:r w:rsidRPr="00A75B78">
              <w:rPr>
                <w:rStyle w:val="spanrvts0"/>
                <w:lang w:val="uk" w:eastAsia="uk"/>
              </w:rPr>
              <w:t xml:space="preserve">у (продукції) згідно з </w:t>
            </w:r>
            <w:r w:rsidRPr="00A75B78">
              <w:rPr>
                <w:rStyle w:val="arvts96"/>
                <w:color w:val="auto"/>
                <w:lang w:val="uk" w:eastAsia="uk"/>
              </w:rPr>
              <w:t>УКТЗЕД</w:t>
            </w:r>
          </w:p>
        </w:tc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Опис товару (продукції) згідно з </w:t>
            </w:r>
            <w:r w:rsidRPr="00A75B78">
              <w:rPr>
                <w:rStyle w:val="arvts96"/>
                <w:color w:val="auto"/>
                <w:lang w:val="uk" w:eastAsia="uk"/>
              </w:rPr>
              <w:t>УКТЗЕД</w:t>
            </w:r>
          </w:p>
        </w:tc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Одиниця ви</w:t>
            </w:r>
            <w:r w:rsidRPr="00A75B78">
              <w:rPr>
                <w:rStyle w:val="spanrvts0"/>
                <w:lang w:val="uk" w:eastAsia="uk"/>
              </w:rPr>
              <w:t>міру (об’єм у літрах, приведених до t 15° C)</w:t>
            </w:r>
          </w:p>
        </w:tc>
        <w:tc>
          <w:tcPr>
            <w:tcW w:w="2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22" w:type="dxa"/>
              <w:bottom w:w="22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Ставка акцизного податку у твердих сумах з одиниці реалізованого товару (продукції)</w:t>
            </w:r>
          </w:p>
        </w:tc>
      </w:tr>
      <w:tr w:rsidR="00A75B78" w:rsidRPr="00A75B78">
        <w:trPr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0294" w:rsidRPr="00A75B78" w:rsidRDefault="00AE0294">
            <w:pPr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0294" w:rsidRPr="00A75B78" w:rsidRDefault="00AE0294">
            <w:pPr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0294" w:rsidRPr="00A75B78" w:rsidRDefault="00AE0294">
            <w:pPr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з 1 вересня до 31 грудня 2024 року включно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з 1 січня до 31 грудня 2025 року включно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з 1 січня до 31 грудня 2026 року </w:t>
            </w:r>
            <w:r w:rsidRPr="00A75B78">
              <w:rPr>
                <w:rStyle w:val="spanrvts0"/>
                <w:lang w:val="uk" w:eastAsia="uk"/>
              </w:rPr>
              <w:t>включно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22" w:type="dxa"/>
              <w:bottom w:w="22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з 1 січня до 31 грудня 2027 року включно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2707 50 00 10 </w:t>
            </w:r>
            <w:r w:rsidRPr="00A75B78">
              <w:rPr>
                <w:rStyle w:val="spanrvts0"/>
                <w:lang w:val="uk" w:eastAsia="uk"/>
              </w:rPr>
              <w:br/>
              <w:t>2707 50 00 90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Суміші ароматичних вуглеводнів, з яких 65 об. % або більше (включаючи втрати) </w:t>
            </w:r>
            <w:proofErr w:type="spellStart"/>
            <w:r w:rsidRPr="00A75B78">
              <w:rPr>
                <w:rStyle w:val="spanrvts0"/>
                <w:lang w:val="uk" w:eastAsia="uk"/>
              </w:rPr>
              <w:t>переганяються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при температурі до 250 °C за методом ISO 3405 (еквівалентним методу ASTM D 86)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євро </w:t>
            </w:r>
            <w:r w:rsidRPr="00A75B78">
              <w:rPr>
                <w:rStyle w:val="spanrvts0"/>
                <w:lang w:val="uk" w:eastAsia="uk"/>
              </w:rPr>
              <w:t>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242,6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271,7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300,8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329,9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Легкі дистиляти: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lastRenderedPageBreak/>
              <w:t xml:space="preserve">2710 12 11 10 </w:t>
            </w:r>
            <w:r w:rsidRPr="00A75B78">
              <w:rPr>
                <w:rStyle w:val="spanrvts0"/>
                <w:lang w:val="uk" w:eastAsia="uk"/>
              </w:rPr>
              <w:br/>
              <w:t>2710 12 11 20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для специфічних процесів переробки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242,6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271,7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300,8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329,9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2710 12 11 90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2710 12 15 10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2710 12 15 20 </w:t>
            </w:r>
            <w:r w:rsidRPr="00A75B78">
              <w:rPr>
                <w:rStyle w:val="spanrvts0"/>
                <w:lang w:val="uk" w:eastAsia="uk"/>
              </w:rPr>
              <w:br/>
              <w:t>2710 12 15 90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для хімічних перетворень</w:t>
            </w:r>
            <w:r w:rsidRPr="00A75B78">
              <w:rPr>
                <w:rStyle w:val="spanrvts0"/>
                <w:lang w:val="uk" w:eastAsia="uk"/>
              </w:rPr>
              <w:t xml:space="preserve"> у процесах, крім зазначених у товарних </w:t>
            </w:r>
            <w:proofErr w:type="spellStart"/>
            <w:r w:rsidRPr="00A75B78">
              <w:rPr>
                <w:rStyle w:val="spanrvts0"/>
                <w:lang w:val="uk" w:eastAsia="uk"/>
              </w:rPr>
              <w:t>підкатегоріях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2710 12 11 10, 2710 12 11 20, 2710 12 11 90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242,6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271,7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300,8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329,9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Бензини спеціальні: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2710 12 21 10 </w:t>
            </w:r>
            <w:r w:rsidRPr="00A75B78">
              <w:rPr>
                <w:rStyle w:val="spanrvts0"/>
                <w:lang w:val="uk" w:eastAsia="uk"/>
              </w:rPr>
              <w:br/>
              <w:t>2710 12 21 90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proofErr w:type="spellStart"/>
            <w:r w:rsidRPr="00A75B78">
              <w:rPr>
                <w:rStyle w:val="spanrvts0"/>
                <w:lang w:val="uk" w:eastAsia="uk"/>
              </w:rPr>
              <w:t>уайт</w:t>
            </w:r>
            <w:proofErr w:type="spellEnd"/>
            <w:r w:rsidRPr="00A75B78">
              <w:rPr>
                <w:rStyle w:val="spanrvts0"/>
                <w:lang w:val="uk" w:eastAsia="uk"/>
              </w:rPr>
              <w:t>-спірит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242,6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271,7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300,8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329,9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2710 12 25 00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інші спеціальні бензини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242,6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271,7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300,8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329,9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Бензини моторні: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2710 12 31 00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бензини авіаційні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30,67*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34,34*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38,01*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41,69*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бензини моторні з вмістом свинцю 0,013 г/л або менше: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2710 12 41 11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2710 12 41 12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2710 12 41 13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2710 12 41 31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2710 12 41 32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2710 12 41 33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2710 12 41 91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2710 12 41 92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2710 12 41 93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2710 12 45 01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2710 12 45 02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2710 12 45 09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2710 12 49 01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2710 12 49 02 </w:t>
            </w:r>
            <w:r w:rsidRPr="00A75B78">
              <w:rPr>
                <w:rStyle w:val="spanrvts0"/>
                <w:lang w:val="uk" w:eastAsia="uk"/>
              </w:rPr>
              <w:br/>
              <w:t>2710 12 49 09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із вмістом не менш як 5 мас. % </w:t>
            </w:r>
            <w:proofErr w:type="spellStart"/>
            <w:r w:rsidRPr="00A75B78">
              <w:rPr>
                <w:rStyle w:val="spanrvts0"/>
                <w:lang w:val="uk" w:eastAsia="uk"/>
              </w:rPr>
              <w:t>б</w:t>
            </w:r>
            <w:r w:rsidRPr="00A75B78">
              <w:rPr>
                <w:rStyle w:val="spanrvts0"/>
                <w:lang w:val="uk" w:eastAsia="uk"/>
              </w:rPr>
              <w:t>іоетанолу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або не менш як 5 мас. % етил-</w:t>
            </w:r>
            <w:proofErr w:type="spellStart"/>
            <w:r w:rsidRPr="00A75B78">
              <w:rPr>
                <w:rStyle w:val="spanrvts0"/>
                <w:lang w:val="uk" w:eastAsia="uk"/>
              </w:rPr>
              <w:t>трет</w:t>
            </w:r>
            <w:proofErr w:type="spellEnd"/>
            <w:r w:rsidRPr="00A75B78">
              <w:rPr>
                <w:rStyle w:val="spanrvts0"/>
                <w:lang w:val="uk" w:eastAsia="uk"/>
              </w:rPr>
              <w:t>-</w:t>
            </w:r>
            <w:proofErr w:type="spellStart"/>
            <w:r w:rsidRPr="00A75B78">
              <w:rPr>
                <w:rStyle w:val="spanrvts0"/>
                <w:lang w:val="uk" w:eastAsia="uk"/>
              </w:rPr>
              <w:t>бутилового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ефіру або їх суміші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242,6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271,7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300,8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329,9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2710 12 41 14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2710 12 41 15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2710 12 41 19 </w:t>
            </w:r>
            <w:r w:rsidRPr="00A75B78">
              <w:rPr>
                <w:rStyle w:val="spanrvts0"/>
                <w:lang w:val="uk" w:eastAsia="uk"/>
              </w:rPr>
              <w:br/>
            </w:r>
            <w:r w:rsidRPr="00A75B78">
              <w:rPr>
                <w:rStyle w:val="spanrvts0"/>
                <w:lang w:val="uk" w:eastAsia="uk"/>
              </w:rPr>
              <w:lastRenderedPageBreak/>
              <w:t xml:space="preserve">2710 12 41 34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2710 12 41 35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2710 12 41 39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2710 12 41 94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2710 12 41 95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2710 12 41 99 </w:t>
            </w:r>
            <w:r w:rsidRPr="00A75B78">
              <w:rPr>
                <w:rStyle w:val="spanrvts0"/>
                <w:lang w:val="uk" w:eastAsia="uk"/>
              </w:rPr>
              <w:br/>
            </w:r>
            <w:r w:rsidRPr="00A75B78">
              <w:rPr>
                <w:rStyle w:val="spanrvts0"/>
                <w:lang w:val="uk" w:eastAsia="uk"/>
              </w:rPr>
              <w:t xml:space="preserve">2710 12 45 12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2710 12 45 13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2710 12 45 99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2710 12 49 12 </w:t>
            </w:r>
            <w:r w:rsidRPr="00A75B78">
              <w:rPr>
                <w:rStyle w:val="spanrvts0"/>
                <w:lang w:val="uk" w:eastAsia="uk"/>
              </w:rPr>
              <w:br/>
              <w:t xml:space="preserve">2710 12 49 13 </w:t>
            </w:r>
            <w:r w:rsidRPr="00A75B78">
              <w:rPr>
                <w:rStyle w:val="spanrvts0"/>
                <w:lang w:val="uk" w:eastAsia="uk"/>
              </w:rPr>
              <w:br/>
              <w:t>2710 12 49 99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lastRenderedPageBreak/>
              <w:t>інші бензини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242,6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271,7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300,8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329,9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lastRenderedPageBreak/>
              <w:t>2710 20 90 00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інші нафтопродукти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242,6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271,7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300,8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329,9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2710 12 50 10 </w:t>
            </w:r>
            <w:r w:rsidRPr="00A75B78">
              <w:rPr>
                <w:rStyle w:val="spanrvts0"/>
                <w:lang w:val="uk" w:eastAsia="uk"/>
              </w:rPr>
              <w:br/>
              <w:t>2710 12 50 90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із</w:t>
            </w:r>
            <w:r w:rsidRPr="00A75B78">
              <w:rPr>
                <w:rStyle w:val="spanrvts0"/>
                <w:lang w:val="uk" w:eastAsia="uk"/>
              </w:rPr>
              <w:t xml:space="preserve"> вмістом свинцю більш як 0,013 г/л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242,6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271,7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300,8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329,9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2710 12 70 00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Паливо для реактивних двигунів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30,67*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34,34*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38,01*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41,09*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2710 12 90 00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Інші легкі дистиляти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242,6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271,7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300,8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329,9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Середні дистиляти: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2710 19 11 10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2710 19 11 20 </w:t>
            </w:r>
            <w:r w:rsidRPr="00A75B78">
              <w:rPr>
                <w:rStyle w:val="spanrvts0"/>
                <w:lang w:val="uk" w:eastAsia="uk"/>
              </w:rPr>
              <w:br/>
              <w:t>2710 19 11 90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для специфічних процесів переробки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242,6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271,7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300,8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329,9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2710 19 15 10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2710 19 15 20 </w:t>
            </w:r>
            <w:r w:rsidRPr="00A75B78">
              <w:rPr>
                <w:rStyle w:val="spanrvts0"/>
                <w:lang w:val="uk" w:eastAsia="uk"/>
              </w:rPr>
              <w:br/>
              <w:t>2710 19 15 90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для хімічних перетворень у процесах, не зазначених у товарній </w:t>
            </w:r>
            <w:r w:rsidRPr="00A75B78">
              <w:rPr>
                <w:rStyle w:val="spanrvts0"/>
                <w:lang w:val="uk" w:eastAsia="uk"/>
              </w:rPr>
              <w:t>категорії 2710 19 11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242,6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271,7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300,8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329,9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Гас: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0294" w:rsidRPr="00A75B78" w:rsidRDefault="00AE02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2710 19 21 00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паливо для реактивних двигунів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23,4*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25,8*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28,2*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30,6*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2710 19 25 00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інший гас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212,4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241,8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271,2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300,6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2710 19 29 00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Інші </w:t>
            </w:r>
            <w:r w:rsidRPr="00A75B78">
              <w:rPr>
                <w:rStyle w:val="spanrvts0"/>
                <w:lang w:val="uk" w:eastAsia="uk"/>
              </w:rPr>
              <w:t>середні дистиляти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212,4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241,8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271,2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300,6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lastRenderedPageBreak/>
              <w:t xml:space="preserve">2710 19 31 01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2710 19 31 10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2710 19 31 20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2710 19 31 30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2710 19 31 40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2710 19 35 01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2710 19 35 10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2710 19 35 20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2710 19 35 30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2710 19 35 40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2710 19 43 00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2710 19 46 00 </w:t>
            </w:r>
            <w:r w:rsidRPr="00A75B78">
              <w:rPr>
                <w:rStyle w:val="spanrvts0"/>
                <w:lang w:val="uk" w:eastAsia="uk"/>
              </w:rPr>
              <w:br/>
            </w:r>
            <w:r w:rsidRPr="00A75B78">
              <w:rPr>
                <w:rStyle w:val="spanrvts0"/>
                <w:lang w:val="uk" w:eastAsia="uk"/>
              </w:rPr>
              <w:t xml:space="preserve">2710 19 47 10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2710 19 47 90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2710 19 48 00 </w:t>
            </w:r>
            <w:r w:rsidRPr="00A75B78">
              <w:rPr>
                <w:rStyle w:val="spanrvts0"/>
                <w:lang w:val="uk" w:eastAsia="uk"/>
              </w:rPr>
              <w:br/>
              <w:t xml:space="preserve">2710 20 11 00 </w:t>
            </w:r>
            <w:r w:rsidRPr="00A75B78">
              <w:rPr>
                <w:rStyle w:val="spanrvts0"/>
                <w:lang w:val="uk" w:eastAsia="uk"/>
              </w:rPr>
              <w:br/>
              <w:t xml:space="preserve">2710 20 16 10 </w:t>
            </w:r>
            <w:r w:rsidRPr="00A75B78">
              <w:rPr>
                <w:rStyle w:val="spanrvts0"/>
                <w:lang w:val="uk" w:eastAsia="uk"/>
              </w:rPr>
              <w:br/>
              <w:t xml:space="preserve">2710 20 16 90 </w:t>
            </w:r>
            <w:r w:rsidRPr="00A75B78">
              <w:rPr>
                <w:rStyle w:val="spanrvts0"/>
                <w:lang w:val="uk" w:eastAsia="uk"/>
              </w:rPr>
              <w:br/>
              <w:t>2710 20 19 00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Важкі дистиляти (</w:t>
            </w:r>
            <w:proofErr w:type="spellStart"/>
            <w:r w:rsidRPr="00A75B78">
              <w:rPr>
                <w:rStyle w:val="spanrvts0"/>
                <w:lang w:val="uk" w:eastAsia="uk"/>
              </w:rPr>
              <w:t>газойль</w:t>
            </w:r>
            <w:proofErr w:type="spellEnd"/>
            <w:r w:rsidRPr="00A75B78">
              <w:rPr>
                <w:rStyle w:val="spanrvts0"/>
                <w:lang w:val="uk" w:eastAsia="uk"/>
              </w:rPr>
              <w:t>)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177,6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215,7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253,8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291,9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2710 19 62 00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2710 19 66 00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2710 19 67 00 </w:t>
            </w:r>
            <w:r w:rsidRPr="00A75B78">
              <w:rPr>
                <w:rStyle w:val="spanrvts0"/>
                <w:lang w:val="uk" w:eastAsia="uk"/>
              </w:rPr>
              <w:br/>
              <w:t xml:space="preserve">2710 20 32 00 </w:t>
            </w:r>
            <w:r w:rsidRPr="00A75B78">
              <w:rPr>
                <w:rStyle w:val="spanrvts0"/>
                <w:lang w:val="uk" w:eastAsia="uk"/>
              </w:rPr>
              <w:br/>
              <w:t>2710 20 38 00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Тільки </w:t>
            </w:r>
            <w:r w:rsidRPr="00A75B78">
              <w:rPr>
                <w:rStyle w:val="spanrvts0"/>
                <w:lang w:val="uk" w:eastAsia="uk"/>
              </w:rPr>
              <w:t>паливо пічне побутове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177,6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215,7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253,8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291,9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2710 19 51 00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Паливо рідке (мазут) для специфічних процесів переробки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177,6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215,7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253,8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291,9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2710 19 55 00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Паливо рідке (мазут) для хімічних перетворень у процесах, </w:t>
            </w:r>
            <w:r w:rsidRPr="00A75B78">
              <w:rPr>
                <w:rStyle w:val="spanrvts0"/>
                <w:lang w:val="uk" w:eastAsia="uk"/>
              </w:rPr>
              <w:t xml:space="preserve">крім зазначених у товарній </w:t>
            </w:r>
            <w:proofErr w:type="spellStart"/>
            <w:r w:rsidRPr="00A75B78">
              <w:rPr>
                <w:rStyle w:val="spanrvts0"/>
                <w:lang w:val="uk" w:eastAsia="uk"/>
              </w:rPr>
              <w:t>підкатегорії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2710 19 51 00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177,6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215,7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253,8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291,9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2711 11 00 00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Скраплений газ природний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3,93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4,19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4,45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4,71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2711 12 11 00 </w:t>
            </w:r>
            <w:r w:rsidRPr="00A75B78">
              <w:rPr>
                <w:rStyle w:val="spanrvts0"/>
                <w:lang w:val="uk" w:eastAsia="uk"/>
              </w:rPr>
              <w:br/>
              <w:t xml:space="preserve">2711 12 19 00 </w:t>
            </w:r>
            <w:r w:rsidRPr="00A75B78">
              <w:rPr>
                <w:rStyle w:val="spanrvts0"/>
                <w:lang w:val="uk" w:eastAsia="uk"/>
              </w:rPr>
              <w:br/>
              <w:t xml:space="preserve">2711 12 91 00 </w:t>
            </w:r>
            <w:r w:rsidRPr="00A75B78">
              <w:rPr>
                <w:rStyle w:val="spanrvts0"/>
                <w:lang w:val="uk" w:eastAsia="uk"/>
              </w:rPr>
              <w:br/>
              <w:t xml:space="preserve">2711 12 93 00 </w:t>
            </w:r>
            <w:r w:rsidRPr="00A75B78">
              <w:rPr>
                <w:rStyle w:val="spanrvts0"/>
                <w:lang w:val="uk" w:eastAsia="uk"/>
              </w:rPr>
              <w:br/>
              <w:t xml:space="preserve">2711 12 94 00 </w:t>
            </w:r>
            <w:r w:rsidRPr="00A75B78">
              <w:rPr>
                <w:rStyle w:val="spanrvts0"/>
                <w:lang w:val="uk" w:eastAsia="uk"/>
              </w:rPr>
              <w:br/>
            </w:r>
            <w:r w:rsidRPr="00A75B78">
              <w:rPr>
                <w:rStyle w:val="spanrvts0"/>
                <w:lang w:val="uk" w:eastAsia="uk"/>
              </w:rPr>
              <w:t xml:space="preserve">2711 12 97 00 </w:t>
            </w:r>
            <w:r w:rsidRPr="00A75B78">
              <w:rPr>
                <w:rStyle w:val="spanrvts0"/>
                <w:lang w:val="uk" w:eastAsia="uk"/>
              </w:rPr>
              <w:br/>
              <w:t xml:space="preserve">2711 13 10 00 </w:t>
            </w:r>
            <w:r w:rsidRPr="00A75B78">
              <w:rPr>
                <w:rStyle w:val="spanrvts0"/>
                <w:lang w:val="uk" w:eastAsia="uk"/>
              </w:rPr>
              <w:br/>
              <w:t xml:space="preserve">2711 13 30 00 </w:t>
            </w:r>
            <w:r w:rsidRPr="00A75B78">
              <w:rPr>
                <w:rStyle w:val="spanrvts0"/>
                <w:lang w:val="uk" w:eastAsia="uk"/>
              </w:rPr>
              <w:br/>
            </w:r>
            <w:r w:rsidRPr="00A75B78">
              <w:rPr>
                <w:rStyle w:val="spanrvts0"/>
                <w:lang w:val="uk" w:eastAsia="uk"/>
              </w:rPr>
              <w:lastRenderedPageBreak/>
              <w:t xml:space="preserve">2711 13 91 00 </w:t>
            </w:r>
            <w:r w:rsidRPr="00A75B78">
              <w:rPr>
                <w:rStyle w:val="spanrvts0"/>
                <w:lang w:val="uk" w:eastAsia="uk"/>
              </w:rPr>
              <w:br/>
              <w:t xml:space="preserve">2711 13 97 00 </w:t>
            </w:r>
            <w:r w:rsidRPr="00A75B78">
              <w:rPr>
                <w:rStyle w:val="spanrvts0"/>
                <w:lang w:val="uk" w:eastAsia="uk"/>
              </w:rPr>
              <w:br/>
              <w:t xml:space="preserve">2711 14 00 00 </w:t>
            </w:r>
            <w:r w:rsidRPr="00A75B78">
              <w:rPr>
                <w:rStyle w:val="spanrvts0"/>
                <w:lang w:val="uk" w:eastAsia="uk"/>
              </w:rPr>
              <w:br/>
              <w:t>2711 19 00 00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lastRenderedPageBreak/>
              <w:t>Скраплений газ (пропан або суміш пропану з бутаном) та інші гази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148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173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198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223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lastRenderedPageBreak/>
              <w:t>2707 10 00 00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Бензол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227,8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260,6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293,4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326,2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2707 20 00 10 </w:t>
            </w:r>
            <w:r w:rsidRPr="00A75B78">
              <w:rPr>
                <w:rStyle w:val="spanrvts0"/>
                <w:lang w:val="uk" w:eastAsia="uk"/>
              </w:rPr>
              <w:br/>
              <w:t>2707 20 00 90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Толуол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227,8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260,6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293,4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326,2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2707 30 00 10 </w:t>
            </w:r>
            <w:r w:rsidRPr="00A75B78">
              <w:rPr>
                <w:rStyle w:val="spanrvts0"/>
                <w:lang w:val="uk" w:eastAsia="uk"/>
              </w:rPr>
              <w:br/>
              <w:t>2707 30 00 90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Ксилол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227,8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260,6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293,4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326,2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2901 10 00 90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Вуглеводні ациклічні насичені (крім бутану, ізобутану)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євро </w:t>
            </w:r>
            <w:r w:rsidRPr="00A75B78">
              <w:rPr>
                <w:rStyle w:val="spanrvts0"/>
                <w:lang w:val="uk" w:eastAsia="uk"/>
              </w:rPr>
              <w:t>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242,6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271,7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300,8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329,9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2901 10 00 10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Бутан, ізобутан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148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173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198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223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2905 11 00 00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Метанол технічний (метиловий спирт)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267,8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290,6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313,4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336,2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2909 19 10 00 </w:t>
            </w:r>
            <w:r w:rsidRPr="00A75B78">
              <w:rPr>
                <w:rStyle w:val="spanrvts0"/>
                <w:lang w:val="uk" w:eastAsia="uk"/>
              </w:rPr>
              <w:br/>
              <w:t xml:space="preserve">2909 19 90 10 </w:t>
            </w:r>
            <w:r w:rsidRPr="00A75B78">
              <w:rPr>
                <w:rStyle w:val="spanrvts0"/>
                <w:lang w:val="uk" w:eastAsia="uk"/>
              </w:rPr>
              <w:br/>
              <w:t xml:space="preserve">2909 19 90 20 </w:t>
            </w:r>
            <w:r w:rsidRPr="00A75B78">
              <w:rPr>
                <w:rStyle w:val="spanrvts0"/>
                <w:lang w:val="uk" w:eastAsia="uk"/>
              </w:rPr>
              <w:br/>
              <w:t xml:space="preserve">2909 19 </w:t>
            </w:r>
            <w:r w:rsidRPr="00A75B78">
              <w:rPr>
                <w:rStyle w:val="spanrvts0"/>
                <w:lang w:val="uk" w:eastAsia="uk"/>
              </w:rPr>
              <w:t>90 90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Інші ефіри прості, </w:t>
            </w:r>
            <w:proofErr w:type="spellStart"/>
            <w:r w:rsidRPr="00A75B78">
              <w:rPr>
                <w:rStyle w:val="spanrvts0"/>
                <w:lang w:val="uk" w:eastAsia="uk"/>
              </w:rPr>
              <w:t>ефіроспирти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, </w:t>
            </w:r>
            <w:proofErr w:type="spellStart"/>
            <w:r w:rsidRPr="00A75B78">
              <w:rPr>
                <w:rStyle w:val="spanrvts0"/>
                <w:lang w:val="uk" w:eastAsia="uk"/>
              </w:rPr>
              <w:t>ефірофеноли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, </w:t>
            </w:r>
            <w:proofErr w:type="spellStart"/>
            <w:r w:rsidRPr="00A75B78">
              <w:rPr>
                <w:rStyle w:val="spanrvts0"/>
                <w:lang w:val="uk" w:eastAsia="uk"/>
              </w:rPr>
              <w:t>ефіроспиртофеноли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, пероксиди спиртів, пероксиди простих ефірів, пероксиди кетонів (визначеного або невизначеного хімічного складу) та їх </w:t>
            </w:r>
            <w:proofErr w:type="spellStart"/>
            <w:r w:rsidRPr="00A75B78">
              <w:rPr>
                <w:rStyle w:val="spanrvts0"/>
                <w:lang w:val="uk" w:eastAsia="uk"/>
              </w:rPr>
              <w:t>галогеновані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, </w:t>
            </w:r>
            <w:proofErr w:type="spellStart"/>
            <w:r w:rsidRPr="00A75B78">
              <w:rPr>
                <w:rStyle w:val="spanrvts0"/>
                <w:lang w:val="uk" w:eastAsia="uk"/>
              </w:rPr>
              <w:t>сульфовані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, нітровані або </w:t>
            </w:r>
            <w:proofErr w:type="spellStart"/>
            <w:r w:rsidRPr="00A75B78">
              <w:rPr>
                <w:rStyle w:val="spanrvts0"/>
                <w:lang w:val="uk" w:eastAsia="uk"/>
              </w:rPr>
              <w:t>нітрозовані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похідні, крім </w:t>
            </w:r>
            <w:proofErr w:type="spellStart"/>
            <w:r w:rsidRPr="00A75B78">
              <w:rPr>
                <w:rStyle w:val="spanrvts0"/>
                <w:lang w:val="uk" w:eastAsia="uk"/>
              </w:rPr>
              <w:t>ди</w:t>
            </w:r>
            <w:r w:rsidRPr="00A75B78">
              <w:rPr>
                <w:rStyle w:val="spanrvts0"/>
                <w:lang w:val="uk" w:eastAsia="uk"/>
              </w:rPr>
              <w:t>етилового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ефіру (код згідно з УКТЗЕД </w:t>
            </w:r>
            <w:r w:rsidRPr="00A75B78">
              <w:rPr>
                <w:rStyle w:val="arvts96"/>
                <w:color w:val="auto"/>
                <w:lang w:val="uk" w:eastAsia="uk"/>
              </w:rPr>
              <w:t>2909 11 00 00</w:t>
            </w:r>
            <w:r w:rsidRPr="00A75B78">
              <w:rPr>
                <w:rStyle w:val="spanrvts0"/>
                <w:lang w:val="uk" w:eastAsia="uk"/>
              </w:rPr>
              <w:t>) Антидетонатори, антиоксиданти, інгібітори смолоутворення, загусники, антикорозійні препарати та інші готові присадки</w:t>
            </w:r>
            <w:r w:rsidRPr="00A75B78">
              <w:rPr>
                <w:rStyle w:val="spanrvts0"/>
                <w:lang w:val="uk" w:eastAsia="uk"/>
              </w:rPr>
              <w:t xml:space="preserve">, </w:t>
            </w:r>
            <w:r w:rsidRPr="00A75B78">
              <w:rPr>
                <w:rStyle w:val="spanrvts0"/>
                <w:lang w:val="uk" w:eastAsia="uk"/>
              </w:rPr>
              <w:lastRenderedPageBreak/>
              <w:t>добавки для нафтопродуктів (включаючи бензин) або для інших рідин, які використовують з тією самою метою, що і нафтопродукти: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lastRenderedPageBreak/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242,6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271,7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300,8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329,9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lastRenderedPageBreak/>
              <w:t xml:space="preserve">3811 11 10 00 </w:t>
            </w:r>
            <w:r w:rsidRPr="00A75B78">
              <w:rPr>
                <w:rStyle w:val="spanrvts0"/>
                <w:lang w:val="uk" w:eastAsia="uk"/>
              </w:rPr>
              <w:br/>
              <w:t xml:space="preserve">3811 11 90 00 </w:t>
            </w:r>
            <w:r w:rsidRPr="00A75B78">
              <w:rPr>
                <w:rStyle w:val="spanrvts0"/>
                <w:lang w:val="uk" w:eastAsia="uk"/>
              </w:rPr>
              <w:br/>
              <w:t>3811 19 00 00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Антидетонатори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242,</w:t>
            </w:r>
            <w:r w:rsidRPr="00A75B78">
              <w:rPr>
                <w:rStyle w:val="spanrvts0"/>
                <w:lang w:val="uk" w:eastAsia="uk"/>
              </w:rPr>
              <w:t>6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271,7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300,8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329,9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3811 90 00 00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Інші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267,8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290,6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313,4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336,2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3826 00 10 00 </w:t>
            </w:r>
            <w:r w:rsidRPr="00A75B78">
              <w:rPr>
                <w:rStyle w:val="spanrvts0"/>
                <w:lang w:val="uk" w:eastAsia="uk"/>
              </w:rPr>
              <w:br/>
              <w:t>3826 00 90 00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proofErr w:type="spellStart"/>
            <w:r w:rsidRPr="00A75B78">
              <w:rPr>
                <w:rStyle w:val="spanrvts0"/>
                <w:lang w:val="uk" w:eastAsia="uk"/>
              </w:rPr>
              <w:t>Біодизель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та його суміші (що не містять або містять менш як 70 мас. % нафти або нафтопродуктів, одержаних з бітумінозних порід) на основі </w:t>
            </w:r>
            <w:proofErr w:type="spellStart"/>
            <w:r w:rsidRPr="00A75B78">
              <w:rPr>
                <w:rStyle w:val="spanrvts0"/>
                <w:lang w:val="uk" w:eastAsia="uk"/>
              </w:rPr>
              <w:t>моноалкільних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складних ефірів жирних кислот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134,95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163,90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192,85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221,8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3824 99 92 20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Паливо моторне альтернативне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184,08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206,16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228,24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250,32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2710 19 62 00-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2710 19 66 00,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2710 19 67 00,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2710 19 71 00, </w:t>
            </w:r>
            <w:r w:rsidRPr="00A75B78">
              <w:rPr>
                <w:rStyle w:val="spanrvts0"/>
                <w:lang w:val="uk" w:eastAsia="uk"/>
              </w:rPr>
              <w:br/>
            </w:r>
            <w:r w:rsidRPr="00A75B78">
              <w:rPr>
                <w:rStyle w:val="spanrvts0"/>
                <w:lang w:val="uk" w:eastAsia="uk"/>
              </w:rPr>
              <w:t xml:space="preserve">2710 19 75 00, </w:t>
            </w:r>
            <w:r w:rsidRPr="00A75B78">
              <w:rPr>
                <w:rStyle w:val="spanrvts0"/>
                <w:lang w:val="uk" w:eastAsia="uk"/>
              </w:rPr>
              <w:br/>
              <w:t xml:space="preserve">2710 19 99 00, </w:t>
            </w:r>
            <w:r w:rsidRPr="00A75B78">
              <w:rPr>
                <w:rStyle w:val="spanrvts0"/>
                <w:lang w:val="uk" w:eastAsia="uk"/>
              </w:rPr>
              <w:br/>
              <w:t xml:space="preserve">2710 20 32 00, </w:t>
            </w:r>
            <w:r w:rsidRPr="00A75B78">
              <w:rPr>
                <w:rStyle w:val="spanrvts0"/>
                <w:lang w:val="uk" w:eastAsia="uk"/>
              </w:rPr>
              <w:br/>
              <w:t>2710 20 38 00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 xml:space="preserve">Палива рідкі на основі </w:t>
            </w:r>
            <w:proofErr w:type="spellStart"/>
            <w:r w:rsidRPr="00A75B78">
              <w:rPr>
                <w:rStyle w:val="spanrvts0"/>
                <w:lang w:val="uk" w:eastAsia="uk"/>
              </w:rPr>
              <w:t>газойлів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(дизпаливо), менш як 85 об. % яких, включаючи витрати, </w:t>
            </w:r>
            <w:proofErr w:type="spellStart"/>
            <w:r w:rsidRPr="00A75B78">
              <w:rPr>
                <w:rStyle w:val="spanrvts0"/>
                <w:lang w:val="uk" w:eastAsia="uk"/>
              </w:rPr>
              <w:t>переганяється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при температурі 350° С (за методом ISO 3405, еквівалентним методу ASTM D 86), крім палива піч</w:t>
            </w:r>
            <w:r w:rsidRPr="00A75B78">
              <w:rPr>
                <w:rStyle w:val="spanrvts0"/>
                <w:lang w:val="uk" w:eastAsia="uk"/>
              </w:rPr>
              <w:t xml:space="preserve">ного побутового, базових олив та інших мастильних матеріалів, та інших дистилятів, які під час фракційної розгонки за методом ISO 3405 (або аналогічним </w:t>
            </w:r>
            <w:r w:rsidRPr="00A75B78">
              <w:rPr>
                <w:rStyle w:val="spanrvts0"/>
                <w:lang w:val="uk" w:eastAsia="uk"/>
              </w:rPr>
              <w:lastRenderedPageBreak/>
              <w:t xml:space="preserve">методом ASTM D 86) при температурі 350° С та атмосферному тиску </w:t>
            </w:r>
            <w:proofErr w:type="spellStart"/>
            <w:r w:rsidRPr="00A75B78">
              <w:rPr>
                <w:rStyle w:val="spanrvts0"/>
                <w:lang w:val="uk" w:eastAsia="uk"/>
              </w:rPr>
              <w:t>переганяються</w:t>
            </w:r>
            <w:proofErr w:type="spellEnd"/>
            <w:r w:rsidRPr="00A75B78">
              <w:rPr>
                <w:rStyle w:val="spanrvts0"/>
                <w:lang w:val="uk" w:eastAsia="uk"/>
              </w:rPr>
              <w:t xml:space="preserve"> не більше 35 об. %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lastRenderedPageBreak/>
              <w:t>євро за</w:t>
            </w:r>
            <w:r w:rsidRPr="00A75B78">
              <w:rPr>
                <w:rStyle w:val="spanrvts0"/>
                <w:lang w:val="uk" w:eastAsia="uk"/>
              </w:rPr>
              <w:t xml:space="preserve">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242,6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271,7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300,8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329,9</w:t>
            </w:r>
          </w:p>
        </w:tc>
      </w:tr>
      <w:tr w:rsidR="00A75B78" w:rsidRPr="00A75B78">
        <w:trPr>
          <w:jc w:val="center"/>
        </w:trPr>
        <w:tc>
          <w:tcPr>
            <w:tcW w:w="8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lastRenderedPageBreak/>
              <w:t>3814 00 90 90</w:t>
            </w:r>
          </w:p>
        </w:tc>
        <w:tc>
          <w:tcPr>
            <w:tcW w:w="11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Тільки розчинники або розріджувачі на основі метанолу; інші готові суміші на основі метанолу</w:t>
            </w:r>
          </w:p>
        </w:tc>
        <w:tc>
          <w:tcPr>
            <w:tcW w:w="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євро за 1000 літрів</w:t>
            </w:r>
          </w:p>
        </w:tc>
        <w:tc>
          <w:tcPr>
            <w:tcW w:w="6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268,2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290,9</w:t>
            </w:r>
          </w:p>
        </w:tc>
        <w:tc>
          <w:tcPr>
            <w:tcW w:w="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313,6</w:t>
            </w:r>
          </w:p>
        </w:tc>
        <w:tc>
          <w:tcPr>
            <w:tcW w:w="5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0294" w:rsidRPr="00A75B78" w:rsidRDefault="00A75B78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0"/>
                <w:lang w:val="uk" w:eastAsia="uk"/>
              </w:rPr>
              <w:t>336,3</w:t>
            </w:r>
          </w:p>
        </w:tc>
      </w:tr>
    </w:tbl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44" w:name="n46"/>
      <w:bookmarkEnd w:id="44"/>
      <w:r w:rsidRPr="00A75B78">
        <w:rPr>
          <w:rStyle w:val="spanrvts82"/>
          <w:lang w:val="uk" w:eastAsia="uk"/>
        </w:rPr>
        <w:t>________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45" w:name="n47"/>
      <w:bookmarkEnd w:id="45"/>
      <w:r w:rsidRPr="00A75B78">
        <w:rPr>
          <w:rStyle w:val="spanrvts82"/>
          <w:lang w:val="uk" w:eastAsia="uk"/>
        </w:rPr>
        <w:t xml:space="preserve">* До ставки податку застосовується підвищувальний </w:t>
      </w:r>
      <w:r w:rsidRPr="00A75B78">
        <w:rPr>
          <w:rStyle w:val="spanrvts82"/>
          <w:lang w:val="uk" w:eastAsia="uk"/>
        </w:rPr>
        <w:t>коефіцієнт 10 у разі: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46" w:name="n48"/>
      <w:bookmarkEnd w:id="46"/>
      <w:r w:rsidRPr="00A75B78">
        <w:rPr>
          <w:rStyle w:val="spanrvts82"/>
          <w:lang w:val="uk" w:eastAsia="uk"/>
        </w:rPr>
        <w:t>ввезення на митну територію України пального;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47" w:name="n49"/>
      <w:bookmarkEnd w:id="47"/>
      <w:r w:rsidRPr="00A75B78">
        <w:rPr>
          <w:rStyle w:val="spanrvts82"/>
          <w:lang w:val="uk" w:eastAsia="uk"/>
        </w:rPr>
        <w:t>реалізації виробником виробленого в Україні пального.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48" w:name="n50"/>
      <w:bookmarkEnd w:id="48"/>
      <w:r w:rsidRPr="00A75B78">
        <w:rPr>
          <w:rStyle w:val="spanrvts82"/>
          <w:lang w:val="uk" w:eastAsia="uk"/>
        </w:rPr>
        <w:t>Підвищувальний коефіцієнт 10 не застосовується суб’єктами господарювання, які відповідно до пункту 229.8 статті 229 цього Кодексу вида</w:t>
      </w:r>
      <w:r w:rsidRPr="00A75B78">
        <w:rPr>
          <w:rStyle w:val="spanrvts82"/>
          <w:lang w:val="uk" w:eastAsia="uk"/>
        </w:rPr>
        <w:t>ли податковий вексель.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49" w:name="n51"/>
      <w:bookmarkEnd w:id="49"/>
      <w:r w:rsidRPr="00A75B78">
        <w:rPr>
          <w:rStyle w:val="spanrvts82"/>
          <w:lang w:val="uk" w:eastAsia="uk"/>
        </w:rPr>
        <w:t>Товари (продукція), що використовуються як пальне для заправлення транспортних засобів, обладнання або пристроїв з двигунами внутрішнього згоряння із запалюванням від стиснення, з двигунами внутрішнього згоряння з іскровим запалюванн</w:t>
      </w:r>
      <w:r w:rsidRPr="00A75B78">
        <w:rPr>
          <w:rStyle w:val="spanrvts82"/>
          <w:lang w:val="uk" w:eastAsia="uk"/>
        </w:rPr>
        <w:t xml:space="preserve">ям, з двигунами внутрішнього згоряння з </w:t>
      </w:r>
      <w:proofErr w:type="spellStart"/>
      <w:r w:rsidRPr="00A75B78">
        <w:rPr>
          <w:rStyle w:val="spanrvts82"/>
          <w:lang w:val="uk" w:eastAsia="uk"/>
        </w:rPr>
        <w:t>кривошипно</w:t>
      </w:r>
      <w:proofErr w:type="spellEnd"/>
      <w:r w:rsidRPr="00A75B78">
        <w:rPr>
          <w:rStyle w:val="spanrvts82"/>
          <w:lang w:val="uk" w:eastAsia="uk"/>
        </w:rPr>
        <w:t xml:space="preserve">-шатунним механізмом, коди яких згідно з УКТЗЕД не зазначені у цьому підпункті (крім газу природного у газоподібному стані за кодом </w:t>
      </w:r>
      <w:r w:rsidRPr="00A75B78">
        <w:rPr>
          <w:rStyle w:val="arvts106"/>
          <w:color w:val="auto"/>
          <w:lang w:val="uk" w:eastAsia="uk"/>
        </w:rPr>
        <w:t>2711 21 00 00</w:t>
      </w:r>
      <w:r w:rsidRPr="00A75B78">
        <w:rPr>
          <w:rStyle w:val="spanrvts82"/>
          <w:lang w:val="uk" w:eastAsia="uk"/>
        </w:rPr>
        <w:t xml:space="preserve"> згідно з УКТЗЕД), оподатковуються за ставкою акцизного податку: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50" w:name="n52"/>
      <w:bookmarkEnd w:id="50"/>
      <w:r w:rsidRPr="00A75B78">
        <w:rPr>
          <w:rStyle w:val="spanrvts82"/>
          <w:lang w:val="uk" w:eastAsia="uk"/>
        </w:rPr>
        <w:t>242,6 євро за 1000 літрів - з 1 вересня 2024 року до 31 грудня 2024 року включно;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51" w:name="n53"/>
      <w:bookmarkEnd w:id="51"/>
      <w:r w:rsidRPr="00A75B78">
        <w:rPr>
          <w:rStyle w:val="spanrvts82"/>
          <w:lang w:val="uk" w:eastAsia="uk"/>
        </w:rPr>
        <w:t>271,7 євро за 1000 літрів - з 1 січня 2025 року до 31 грудня 2025 року включно;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52" w:name="n54"/>
      <w:bookmarkEnd w:id="52"/>
      <w:r w:rsidRPr="00A75B78">
        <w:rPr>
          <w:rStyle w:val="spanrvts82"/>
          <w:lang w:val="uk" w:eastAsia="uk"/>
        </w:rPr>
        <w:t>300,8 євро за 1000 літрів - з 1 січня 2026 року до 31 грудня 2026 року включно;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53" w:name="n55"/>
      <w:bookmarkEnd w:id="53"/>
      <w:r w:rsidRPr="00A75B78">
        <w:rPr>
          <w:rStyle w:val="spanrvts82"/>
          <w:lang w:val="uk" w:eastAsia="uk"/>
        </w:rPr>
        <w:t>329,9 євро за 1000 літрів - з 1 січня 2027 року до 31 грудня 2027 року включно".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54" w:name="n56"/>
      <w:bookmarkEnd w:id="54"/>
      <w:r w:rsidRPr="00A75B78">
        <w:rPr>
          <w:rStyle w:val="spanrvts0"/>
          <w:lang w:val="uk" w:eastAsia="uk"/>
        </w:rPr>
        <w:t>II. Прикінцеві положення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55" w:name="n57"/>
      <w:bookmarkEnd w:id="55"/>
      <w:r w:rsidRPr="00A75B78">
        <w:rPr>
          <w:rStyle w:val="spanrvts0"/>
          <w:lang w:val="uk" w:eastAsia="uk"/>
        </w:rPr>
        <w:t>1. Цей Закон набирає чинності з 1 вересня 2024 року, крім: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56" w:name="n58"/>
      <w:bookmarkEnd w:id="56"/>
      <w:r w:rsidRPr="00A75B78">
        <w:rPr>
          <w:rStyle w:val="arvts99"/>
          <w:color w:val="auto"/>
          <w:lang w:val="uk" w:eastAsia="uk"/>
        </w:rPr>
        <w:t>підпункту 1</w:t>
      </w:r>
      <w:r w:rsidRPr="00A75B78">
        <w:rPr>
          <w:rStyle w:val="spanrvts0"/>
          <w:lang w:val="uk" w:eastAsia="uk"/>
        </w:rPr>
        <w:t xml:space="preserve"> пункту 2 розділу I цього Закону, який набирає чинності з 1 грудня 2024 року;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57" w:name="n59"/>
      <w:bookmarkEnd w:id="57"/>
      <w:r w:rsidRPr="00A75B78">
        <w:rPr>
          <w:rStyle w:val="arvts99"/>
          <w:color w:val="auto"/>
          <w:lang w:val="uk" w:eastAsia="uk"/>
        </w:rPr>
        <w:t>підпунктів 2</w:t>
      </w:r>
      <w:r w:rsidRPr="00A75B78">
        <w:rPr>
          <w:rStyle w:val="spanrvts0"/>
          <w:lang w:val="uk" w:eastAsia="uk"/>
        </w:rPr>
        <w:t xml:space="preserve"> і </w:t>
      </w:r>
      <w:r w:rsidRPr="00A75B78">
        <w:rPr>
          <w:rStyle w:val="arvts99"/>
          <w:color w:val="auto"/>
          <w:lang w:val="uk" w:eastAsia="uk"/>
        </w:rPr>
        <w:t>3</w:t>
      </w:r>
      <w:r w:rsidRPr="00A75B78">
        <w:rPr>
          <w:rStyle w:val="spanrvts0"/>
          <w:lang w:val="uk" w:eastAsia="uk"/>
        </w:rPr>
        <w:t xml:space="preserve"> пункту 1 розділу I цього Закону, які набирають чинності з 1 січня 2025 року.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58" w:name="n60"/>
      <w:bookmarkEnd w:id="58"/>
      <w:r w:rsidRPr="00A75B78">
        <w:rPr>
          <w:rStyle w:val="spanrvts0"/>
          <w:lang w:val="uk" w:eastAsia="uk"/>
        </w:rPr>
        <w:t xml:space="preserve">2. </w:t>
      </w:r>
      <w:r w:rsidRPr="00A75B78">
        <w:rPr>
          <w:rStyle w:val="arvts96"/>
          <w:color w:val="auto"/>
          <w:lang w:val="uk" w:eastAsia="uk"/>
        </w:rPr>
        <w:t>Абзац двадцять другий</w:t>
      </w:r>
      <w:r w:rsidRPr="00A75B78">
        <w:rPr>
          <w:rStyle w:val="spanrvts0"/>
          <w:lang w:val="uk" w:eastAsia="uk"/>
        </w:rPr>
        <w:t xml:space="preserve"> частини п’ятої статті 43 Закону України "Про державне регулювання виробництва і обігу спирту етилового, спиртових дистилятів, </w:t>
      </w:r>
      <w:proofErr w:type="spellStart"/>
      <w:r w:rsidRPr="00A75B78">
        <w:rPr>
          <w:rStyle w:val="spanrvts0"/>
          <w:lang w:val="uk" w:eastAsia="uk"/>
        </w:rPr>
        <w:t>біоетанолу</w:t>
      </w:r>
      <w:proofErr w:type="spellEnd"/>
      <w:r w:rsidRPr="00A75B78">
        <w:rPr>
          <w:rStyle w:val="spanrvts0"/>
          <w:lang w:val="uk" w:eastAsia="uk"/>
        </w:rPr>
        <w:t>, алкогольних напої</w:t>
      </w:r>
      <w:r w:rsidRPr="00A75B78">
        <w:rPr>
          <w:rStyle w:val="spanrvts0"/>
          <w:lang w:val="uk" w:eastAsia="uk"/>
        </w:rPr>
        <w:t>в, тютюнових виробів, тютюнової сировини, рідин, що використовуються в електронних сигаретах, та пального" від 18 червня 2024 року № 3817-IX замінити двома новими абзацами такого змісту: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59" w:name="n61"/>
      <w:bookmarkEnd w:id="59"/>
      <w:r w:rsidRPr="00A75B78">
        <w:rPr>
          <w:rStyle w:val="spanrvts0"/>
          <w:lang w:val="uk" w:eastAsia="uk"/>
        </w:rPr>
        <w:t>"документа, що підтверджує приймання суб’єктом господарювання нерухом</w:t>
      </w:r>
      <w:r w:rsidRPr="00A75B78">
        <w:rPr>
          <w:rStyle w:val="spanrvts0"/>
          <w:lang w:val="uk" w:eastAsia="uk"/>
        </w:rPr>
        <w:t xml:space="preserve">ого майна, примусово відчуженого або вилученого у власника в умовах правового режиму воєнного стану згідно із законами України </w:t>
      </w:r>
      <w:r w:rsidRPr="00A75B78">
        <w:rPr>
          <w:rStyle w:val="arvts96"/>
          <w:color w:val="auto"/>
          <w:lang w:val="uk" w:eastAsia="uk"/>
        </w:rPr>
        <w:t>"Про правовий режим воєнного стану"</w:t>
      </w:r>
      <w:r w:rsidRPr="00A75B78">
        <w:rPr>
          <w:rStyle w:val="spanrvts0"/>
          <w:lang w:val="uk" w:eastAsia="uk"/>
        </w:rPr>
        <w:t xml:space="preserve">, </w:t>
      </w:r>
      <w:r w:rsidRPr="00A75B78">
        <w:rPr>
          <w:rStyle w:val="arvts96"/>
          <w:color w:val="auto"/>
          <w:lang w:val="uk" w:eastAsia="uk"/>
        </w:rPr>
        <w:t>"Про передачу, примусове відчуження або вилучення майна в умовах правового режиму воєнного чи надзвичайного стану"</w:t>
      </w:r>
      <w:r w:rsidRPr="00A75B78">
        <w:rPr>
          <w:rStyle w:val="spanrvts0"/>
          <w:lang w:val="uk" w:eastAsia="uk"/>
        </w:rPr>
        <w:t>;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60" w:name="n62"/>
      <w:bookmarkEnd w:id="60"/>
      <w:r w:rsidRPr="00A75B78">
        <w:rPr>
          <w:rStyle w:val="spanrvts0"/>
          <w:lang w:val="uk" w:eastAsia="uk"/>
        </w:rPr>
        <w:t>документа, що підтверджує передачу акцій суб’єкта господарювання у межах процедури примус</w:t>
      </w:r>
      <w:r w:rsidRPr="00A75B78">
        <w:rPr>
          <w:rStyle w:val="spanrvts0"/>
          <w:lang w:val="uk" w:eastAsia="uk"/>
        </w:rPr>
        <w:t xml:space="preserve">ового відчуження або вилучення в умовах правового режиму воєнного стану згідно із законами України </w:t>
      </w:r>
      <w:r w:rsidRPr="00A75B78">
        <w:rPr>
          <w:rStyle w:val="arvts96"/>
          <w:color w:val="auto"/>
          <w:lang w:val="uk" w:eastAsia="uk"/>
        </w:rPr>
        <w:t>"Про правовий режим воєнного стану"</w:t>
      </w:r>
      <w:r w:rsidRPr="00A75B78">
        <w:rPr>
          <w:rStyle w:val="spanrvts0"/>
          <w:lang w:val="uk" w:eastAsia="uk"/>
        </w:rPr>
        <w:t xml:space="preserve">, </w:t>
      </w:r>
      <w:r w:rsidRPr="00A75B78">
        <w:rPr>
          <w:rStyle w:val="arvts96"/>
          <w:color w:val="auto"/>
          <w:lang w:val="uk" w:eastAsia="uk"/>
        </w:rPr>
        <w:t>"Про передачу, примусове відчуження або вилучення майна в умовах правового режиму воєнного чи надзвичайного стану"</w:t>
      </w:r>
      <w:r w:rsidRPr="00A75B78">
        <w:rPr>
          <w:rStyle w:val="spanrvts0"/>
          <w:lang w:val="uk" w:eastAsia="uk"/>
        </w:rPr>
        <w:t xml:space="preserve">. Дія цього абзацу поширюється на об’єкти нерухомого майна, які на день передачі акцій суб’єкта </w:t>
      </w:r>
      <w:r w:rsidRPr="00A75B78">
        <w:rPr>
          <w:rStyle w:val="spanrvts0"/>
          <w:lang w:val="uk" w:eastAsia="uk"/>
        </w:rPr>
        <w:lastRenderedPageBreak/>
        <w:t>господарювання перебува</w:t>
      </w:r>
      <w:r w:rsidRPr="00A75B78">
        <w:rPr>
          <w:rStyle w:val="spanrvts0"/>
          <w:lang w:val="uk" w:eastAsia="uk"/>
        </w:rPr>
        <w:t>ли у власності такого суб’єкта господарювання, який мав діючу ліцензію на право роздрібної торгівлі пальним".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61" w:name="n63"/>
      <w:bookmarkEnd w:id="61"/>
      <w:r w:rsidRPr="00A75B78">
        <w:rPr>
          <w:rStyle w:val="spanrvts0"/>
          <w:lang w:val="uk" w:eastAsia="uk"/>
        </w:rPr>
        <w:t>У зв’язку з цим абзаци двадцять третій - двадцять п’ятий вважати відповідно абзацами двадцять четвертим - двадцять шостим.</w:t>
      </w:r>
    </w:p>
    <w:p w:rsidR="00AE0294" w:rsidRPr="00A75B78" w:rsidRDefault="00A75B78">
      <w:pPr>
        <w:pStyle w:val="rvps2"/>
        <w:spacing w:after="150"/>
        <w:rPr>
          <w:rStyle w:val="spanrvts0"/>
          <w:lang w:val="uk" w:eastAsia="uk"/>
        </w:rPr>
      </w:pPr>
      <w:bookmarkStart w:id="62" w:name="n64"/>
      <w:bookmarkEnd w:id="62"/>
      <w:r w:rsidRPr="00A75B78">
        <w:rPr>
          <w:rStyle w:val="spanrvts0"/>
          <w:lang w:val="uk" w:eastAsia="uk"/>
        </w:rPr>
        <w:t>3. Кабінету Міністрів У</w:t>
      </w:r>
      <w:r w:rsidRPr="00A75B78">
        <w:rPr>
          <w:rStyle w:val="spanrvts0"/>
          <w:lang w:val="uk" w:eastAsia="uk"/>
        </w:rPr>
        <w:t>країни протягом трьох місяців з дня набрання чинності цим Законом опрацювати питання запровадження понижувального коефіцієнта на рівні 0,5 до ставок акцизного податку на важкі дистиляти (</w:t>
      </w:r>
      <w:proofErr w:type="spellStart"/>
      <w:r w:rsidRPr="00A75B78">
        <w:rPr>
          <w:rStyle w:val="spanrvts0"/>
          <w:lang w:val="uk" w:eastAsia="uk"/>
        </w:rPr>
        <w:t>газойли</w:t>
      </w:r>
      <w:proofErr w:type="spellEnd"/>
      <w:r w:rsidRPr="00A75B78">
        <w:rPr>
          <w:rStyle w:val="spanrvts0"/>
          <w:lang w:val="uk" w:eastAsia="uk"/>
        </w:rPr>
        <w:t>), призначені для використання сільськогосподарськими виробник</w:t>
      </w:r>
      <w:r w:rsidRPr="00A75B78">
        <w:rPr>
          <w:rStyle w:val="spanrvts0"/>
          <w:lang w:val="uk" w:eastAsia="uk"/>
        </w:rPr>
        <w:t>ами, підготувати відповідний законопроект та подати його на розгляд Верховної Ради України.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992"/>
        <w:gridCol w:w="6981"/>
      </w:tblGrid>
      <w:tr w:rsidR="00A75B78" w:rsidRPr="00A75B78">
        <w:trPr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294" w:rsidRPr="00A75B78" w:rsidRDefault="00A75B78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63" w:name="n65"/>
            <w:bookmarkEnd w:id="63"/>
            <w:r w:rsidRPr="00A75B78">
              <w:rPr>
                <w:rStyle w:val="spanrvts44"/>
                <w:lang w:val="uk" w:eastAsia="uk"/>
              </w:rPr>
              <w:t>Президент України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294" w:rsidRPr="00A75B78" w:rsidRDefault="00A75B78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  <w:r w:rsidRPr="00A75B78">
              <w:rPr>
                <w:rStyle w:val="spanrvts44"/>
                <w:lang w:val="uk" w:eastAsia="uk"/>
              </w:rPr>
              <w:t>В. ЗЕЛЕНСЬКИЙ</w:t>
            </w:r>
          </w:p>
        </w:tc>
      </w:tr>
      <w:tr w:rsidR="00A75B78" w:rsidRPr="00A75B78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294" w:rsidRPr="00A75B78" w:rsidRDefault="00A75B78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r w:rsidRPr="00A75B78">
              <w:rPr>
                <w:rStyle w:val="spanrvts44"/>
                <w:lang w:val="uk" w:eastAsia="uk"/>
              </w:rPr>
              <w:t>м. Київ</w:t>
            </w:r>
            <w:r w:rsidRPr="00A75B78">
              <w:rPr>
                <w:rStyle w:val="spanrvts0"/>
                <w:lang w:val="uk" w:eastAsia="uk"/>
              </w:rPr>
              <w:t xml:space="preserve"> </w:t>
            </w:r>
            <w:r w:rsidRPr="00A75B78">
              <w:rPr>
                <w:rStyle w:val="spanrvts0"/>
                <w:lang w:val="uk" w:eastAsia="uk"/>
              </w:rPr>
              <w:br/>
            </w:r>
            <w:r w:rsidRPr="00A75B78">
              <w:rPr>
                <w:rStyle w:val="spanrvts44"/>
                <w:lang w:val="uk" w:eastAsia="uk"/>
              </w:rPr>
              <w:t>18 липня 2024 року</w:t>
            </w:r>
            <w:r w:rsidRPr="00A75B78">
              <w:rPr>
                <w:rStyle w:val="spanrvts0"/>
                <w:lang w:val="uk" w:eastAsia="uk"/>
              </w:rPr>
              <w:t xml:space="preserve"> </w:t>
            </w:r>
            <w:r w:rsidRPr="00A75B78">
              <w:rPr>
                <w:rStyle w:val="spanrvts0"/>
                <w:lang w:val="uk" w:eastAsia="uk"/>
              </w:rPr>
              <w:br/>
            </w:r>
            <w:r w:rsidRPr="00A75B78">
              <w:rPr>
                <w:rStyle w:val="spanrvts44"/>
                <w:lang w:val="uk" w:eastAsia="uk"/>
              </w:rPr>
              <w:t>№ 3878-IX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294" w:rsidRPr="00A75B78" w:rsidRDefault="00AE0294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</w:p>
        </w:tc>
      </w:tr>
    </w:tbl>
    <w:p w:rsidR="00AE0294" w:rsidRPr="00A75B78" w:rsidRDefault="00AE0294" w:rsidP="00A75B78">
      <w:pPr>
        <w:pStyle w:val="stamp"/>
        <w:rPr>
          <w:lang w:val="uk" w:eastAsia="uk"/>
        </w:rPr>
      </w:pPr>
      <w:bookmarkStart w:id="64" w:name="_GoBack"/>
      <w:bookmarkEnd w:id="64"/>
    </w:p>
    <w:sectPr w:rsidR="00AE0294" w:rsidRPr="00A75B78"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1FE87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3604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3C32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32E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A87A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90C6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A6E3A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EE88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40F7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94"/>
    <w:rsid w:val="00A75B78"/>
    <w:rsid w:val="00A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79C54-7728-4B05-8940-66343A9B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8">
    <w:name w:val="rvps8"/>
    <w:basedOn w:val="a"/>
    <w:pPr>
      <w:jc w:val="both"/>
    </w:pPr>
  </w:style>
  <w:style w:type="paragraph" w:customStyle="1" w:styleId="rvps7">
    <w:name w:val="rvps7"/>
    <w:basedOn w:val="a"/>
    <w:pPr>
      <w:jc w:val="center"/>
    </w:pPr>
  </w:style>
  <w:style w:type="paragraph" w:customStyle="1" w:styleId="rvps17">
    <w:name w:val="rvps17"/>
    <w:basedOn w:val="a"/>
    <w:pPr>
      <w:spacing w:line="360" w:lineRule="atLeast"/>
      <w:jc w:val="center"/>
    </w:pPr>
  </w:style>
  <w:style w:type="character" w:customStyle="1" w:styleId="spanrvts78">
    <w:name w:val="span_rvts78"/>
    <w:basedOn w:val="a0"/>
    <w:rPr>
      <w:rFonts w:ascii="Times New Roman" w:eastAsia="Times New Roman" w:hAnsi="Times New Roman" w:cs="Times New Roman"/>
      <w:b/>
      <w:bCs/>
      <w:i/>
      <w:iCs/>
      <w:spacing w:val="60"/>
      <w:sz w:val="40"/>
      <w:szCs w:val="40"/>
    </w:rPr>
  </w:style>
  <w:style w:type="table" w:customStyle="1" w:styleId="articletable">
    <w:name w:val="article_table"/>
    <w:basedOn w:val="a1"/>
    <w:tblPr/>
  </w:style>
  <w:style w:type="paragraph" w:customStyle="1" w:styleId="rvps6">
    <w:name w:val="rvps6"/>
    <w:basedOn w:val="a"/>
    <w:pPr>
      <w:jc w:val="center"/>
    </w:p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2">
    <w:name w:val="rvps2"/>
    <w:basedOn w:val="a"/>
    <w:pPr>
      <w:ind w:firstLine="450"/>
      <w:jc w:val="both"/>
    </w:pPr>
  </w:style>
  <w:style w:type="character" w:customStyle="1" w:styleId="spanrvts52">
    <w:name w:val="span_rvts52"/>
    <w:basedOn w:val="a0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37">
    <w:name w:val="span_rvts37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perscript"/>
    </w:rPr>
  </w:style>
  <w:style w:type="character" w:customStyle="1" w:styleId="arvts99">
    <w:name w:val="a_rvts99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character" w:customStyle="1" w:styleId="arvts117">
    <w:name w:val="a_rvts117"/>
    <w:basedOn w:val="a0"/>
    <w:rPr>
      <w:rFonts w:ascii="Times New Roman" w:eastAsia="Times New Roman" w:hAnsi="Times New Roman" w:cs="Times New Roman"/>
      <w:b/>
      <w:bCs/>
      <w:i w:val="0"/>
      <w:iCs w:val="0"/>
      <w:color w:val="000099"/>
      <w:sz w:val="24"/>
      <w:szCs w:val="24"/>
      <w:vertAlign w:val="superscript"/>
    </w:rPr>
  </w:style>
  <w:style w:type="character" w:customStyle="1" w:styleId="spanrvts80">
    <w:name w:val="span_rvts80"/>
    <w:basedOn w:val="a0"/>
    <w:rPr>
      <w:rFonts w:ascii="Lucida Sans Unicode" w:eastAsia="Lucida Sans Unicode" w:hAnsi="Lucida Sans Unicode" w:cs="Lucida Sans Unicode"/>
      <w:b/>
      <w:bCs/>
      <w:i w:val="0"/>
      <w:iCs w:val="0"/>
      <w:sz w:val="24"/>
      <w:szCs w:val="24"/>
    </w:rPr>
  </w:style>
  <w:style w:type="character" w:customStyle="1" w:styleId="spanrvts40">
    <w:name w:val="span_rvts40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bscript"/>
    </w:rPr>
  </w:style>
  <w:style w:type="paragraph" w:customStyle="1" w:styleId="rvps14">
    <w:name w:val="rvps14"/>
    <w:basedOn w:val="a"/>
  </w:style>
  <w:style w:type="paragraph" w:customStyle="1" w:styleId="rvps12">
    <w:name w:val="rvps12"/>
    <w:basedOn w:val="a"/>
    <w:pPr>
      <w:jc w:val="center"/>
    </w:pPr>
  </w:style>
  <w:style w:type="paragraph" w:customStyle="1" w:styleId="rvps1">
    <w:name w:val="rvps1"/>
    <w:basedOn w:val="a"/>
    <w:pPr>
      <w:jc w:val="center"/>
    </w:pPr>
  </w:style>
  <w:style w:type="character" w:customStyle="1" w:styleId="spanrvts82">
    <w:name w:val="span_rvts82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arvts106">
    <w:name w:val="a_rvts10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0"/>
      <w:szCs w:val="20"/>
    </w:rPr>
  </w:style>
  <w:style w:type="paragraph" w:customStyle="1" w:styleId="rvps4">
    <w:name w:val="rvps4"/>
    <w:basedOn w:val="a"/>
    <w:pPr>
      <w:jc w:val="center"/>
    </w:p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stamp">
    <w:name w:val="stamp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15135</Words>
  <Characters>8628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внесення змін до Податкового кодексу України щодо імплементації положень актів права Європейського Союзу щодо акцизного податку | від 18.07.2024 № 3878-IX</vt:lpstr>
    </vt:vector>
  </TitlesOfParts>
  <Company/>
  <LinksUpToDate>false</LinksUpToDate>
  <CharactersWithSpaces>23716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Податкового кодексу України щодо імплементації положень актів права Європейського Союзу щодо акцизного податку | від 18.07.2024 № 3878-IX</dc:title>
  <dc:creator>ГЛОБА ОЛЕКСІЙ ВОЛОДИМИРОВИЧ</dc:creator>
  <cp:lastModifiedBy>ГЛОБА ОЛЕКСІЙ ВОЛОДИМИРОВИЧ</cp:lastModifiedBy>
  <cp:revision>2</cp:revision>
  <dcterms:created xsi:type="dcterms:W3CDTF">2024-10-10T08:26:00Z</dcterms:created>
  <dcterms:modified xsi:type="dcterms:W3CDTF">2024-10-10T08:26:00Z</dcterms:modified>
</cp:coreProperties>
</file>