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C1E55" w14:textId="77777777" w:rsidR="00A0476E" w:rsidRDefault="00A65945">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ПОЯСНЮВАЛЬНА ЗАПИСКА</w:t>
      </w:r>
    </w:p>
    <w:p w14:paraId="1D14608C" w14:textId="77777777" w:rsidR="00A0476E" w:rsidRDefault="00A65945">
      <w:pPr>
        <w:spacing w:after="0" w:line="240" w:lineRule="auto"/>
        <w:jc w:val="center"/>
        <w:rPr>
          <w:rFonts w:ascii="Times New Roman" w:hAnsi="Times New Roman"/>
          <w:b/>
          <w:sz w:val="28"/>
          <w:szCs w:val="28"/>
        </w:rPr>
      </w:pPr>
      <w:r>
        <w:rPr>
          <w:rFonts w:ascii="Times New Roman" w:hAnsi="Times New Roman"/>
          <w:b/>
          <w:sz w:val="28"/>
          <w:szCs w:val="28"/>
        </w:rPr>
        <w:t xml:space="preserve">до </w:t>
      </w:r>
      <w:proofErr w:type="spellStart"/>
      <w:r>
        <w:rPr>
          <w:rFonts w:ascii="Times New Roman" w:hAnsi="Times New Roman"/>
          <w:b/>
          <w:sz w:val="28"/>
          <w:szCs w:val="28"/>
        </w:rPr>
        <w:t>проєкту</w:t>
      </w:r>
      <w:proofErr w:type="spellEnd"/>
      <w:r>
        <w:rPr>
          <w:rFonts w:ascii="Times New Roman" w:hAnsi="Times New Roman"/>
          <w:b/>
          <w:sz w:val="28"/>
          <w:szCs w:val="28"/>
        </w:rPr>
        <w:t xml:space="preserve"> наказу Міністерства фінансів України </w:t>
      </w:r>
    </w:p>
    <w:p w14:paraId="31C8A125" w14:textId="77777777" w:rsidR="00A0476E" w:rsidRDefault="00A65945">
      <w:pPr>
        <w:spacing w:after="0" w:line="240" w:lineRule="auto"/>
        <w:jc w:val="center"/>
        <w:rPr>
          <w:rFonts w:ascii="Times New Roman" w:hAnsi="Times New Roman"/>
          <w:b/>
          <w:sz w:val="28"/>
          <w:szCs w:val="28"/>
        </w:rPr>
      </w:pPr>
      <w:r>
        <w:rPr>
          <w:rFonts w:ascii="Times New Roman" w:hAnsi="Times New Roman"/>
          <w:b/>
          <w:sz w:val="28"/>
          <w:szCs w:val="28"/>
        </w:rPr>
        <w:t>«Про затвердження Змін до форми Податкової декларації з податку на</w:t>
      </w:r>
    </w:p>
    <w:p w14:paraId="78DACA73" w14:textId="77777777" w:rsidR="00A0476E" w:rsidRDefault="00A65945">
      <w:pPr>
        <w:spacing w:after="0" w:line="240" w:lineRule="auto"/>
        <w:jc w:val="center"/>
        <w:rPr>
          <w:rFonts w:ascii="Times New Roman" w:hAnsi="Times New Roman"/>
          <w:b/>
          <w:sz w:val="28"/>
          <w:szCs w:val="28"/>
        </w:rPr>
      </w:pPr>
      <w:r>
        <w:rPr>
          <w:rFonts w:ascii="Times New Roman" w:hAnsi="Times New Roman"/>
          <w:b/>
          <w:sz w:val="28"/>
          <w:szCs w:val="28"/>
        </w:rPr>
        <w:t xml:space="preserve">прибуток підприємств» </w:t>
      </w:r>
    </w:p>
    <w:p w14:paraId="7C959EF3" w14:textId="77777777" w:rsidR="00A0476E" w:rsidRDefault="00A0476E">
      <w:pPr>
        <w:spacing w:after="0" w:line="240" w:lineRule="auto"/>
        <w:ind w:firstLine="567"/>
        <w:jc w:val="both"/>
        <w:rPr>
          <w:rFonts w:ascii="Times New Roman" w:hAnsi="Times New Roman"/>
          <w:b/>
          <w:sz w:val="28"/>
          <w:szCs w:val="28"/>
        </w:rPr>
      </w:pPr>
    </w:p>
    <w:p w14:paraId="12FFD62D" w14:textId="77777777" w:rsidR="00A0476E" w:rsidRDefault="00A65945">
      <w:pPr>
        <w:spacing w:after="0" w:line="240" w:lineRule="auto"/>
        <w:ind w:firstLine="567"/>
        <w:jc w:val="both"/>
        <w:rPr>
          <w:rFonts w:ascii="Times New Roman" w:hAnsi="Times New Roman"/>
          <w:b/>
          <w:sz w:val="28"/>
          <w:szCs w:val="28"/>
        </w:rPr>
      </w:pPr>
      <w:r>
        <w:rPr>
          <w:rFonts w:ascii="Times New Roman" w:hAnsi="Times New Roman"/>
          <w:b/>
          <w:sz w:val="28"/>
          <w:szCs w:val="28"/>
        </w:rPr>
        <w:t>1. Мета</w:t>
      </w:r>
    </w:p>
    <w:p w14:paraId="7BC84699" w14:textId="77777777" w:rsidR="00A0476E" w:rsidRDefault="00A65945">
      <w:pPr>
        <w:shd w:val="clear" w:color="auto" w:fill="FFFFFF"/>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Видання наказу Міністерства фінансів України «Про затвердження Змін до форми Податкової декларації з податку на прибуток підприємств» сприятиме забезпеченню виконання положень Податкового кодексу України (далі – Кодекс) та приведенню нормативно-правових актів Міністерства фінансів України у відповідність до законодавства України.</w:t>
      </w:r>
    </w:p>
    <w:p w14:paraId="4D495C02" w14:textId="77777777" w:rsidR="00A0476E" w:rsidRDefault="00A0476E">
      <w:pPr>
        <w:spacing w:after="0" w:line="240" w:lineRule="auto"/>
        <w:ind w:firstLine="567"/>
        <w:jc w:val="both"/>
        <w:rPr>
          <w:rFonts w:ascii="Times New Roman" w:hAnsi="Times New Roman"/>
          <w:b/>
          <w:sz w:val="28"/>
          <w:szCs w:val="28"/>
        </w:rPr>
      </w:pPr>
    </w:p>
    <w:p w14:paraId="125B9F75" w14:textId="77777777" w:rsidR="00A0476E" w:rsidRDefault="00A65945">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2. Обґрунтування необхідності прийняття </w:t>
      </w:r>
      <w:proofErr w:type="spellStart"/>
      <w:r>
        <w:rPr>
          <w:rFonts w:ascii="Times New Roman" w:hAnsi="Times New Roman"/>
          <w:b/>
          <w:sz w:val="28"/>
          <w:szCs w:val="28"/>
        </w:rPr>
        <w:t>акта</w:t>
      </w:r>
      <w:proofErr w:type="spellEnd"/>
    </w:p>
    <w:p w14:paraId="6001001A" w14:textId="7AD81FD7" w:rsidR="00A0476E" w:rsidRDefault="00A65945">
      <w:pPr>
        <w:spacing w:after="0" w:line="240" w:lineRule="auto"/>
        <w:ind w:firstLine="567"/>
        <w:jc w:val="both"/>
        <w:rPr>
          <w:rFonts w:ascii="Times New Roman" w:hAnsi="Times New Roman"/>
          <w:sz w:val="28"/>
          <w:szCs w:val="28"/>
        </w:rPr>
      </w:pPr>
      <w:proofErr w:type="spellStart"/>
      <w:r>
        <w:rPr>
          <w:rFonts w:ascii="Times New Roman" w:hAnsi="Times New Roman"/>
          <w:bCs/>
          <w:sz w:val="28"/>
          <w:szCs w:val="28"/>
        </w:rPr>
        <w:t>Проєкт</w:t>
      </w:r>
      <w:proofErr w:type="spellEnd"/>
      <w:r>
        <w:rPr>
          <w:rFonts w:ascii="Times New Roman" w:hAnsi="Times New Roman"/>
          <w:bCs/>
          <w:sz w:val="28"/>
          <w:szCs w:val="28"/>
        </w:rPr>
        <w:t xml:space="preserve"> наказу </w:t>
      </w:r>
      <w:r>
        <w:rPr>
          <w:rFonts w:ascii="Times New Roman" w:hAnsi="Times New Roman"/>
          <w:sz w:val="28"/>
          <w:szCs w:val="28"/>
          <w:lang w:eastAsia="ru-RU"/>
        </w:rPr>
        <w:t xml:space="preserve">Міністерства фінансів України «Про затвердження Змін до форми Податкової декларації з податку на прибуток підприємств» (далі – </w:t>
      </w:r>
      <w:proofErr w:type="spellStart"/>
      <w:r>
        <w:rPr>
          <w:rFonts w:ascii="Times New Roman" w:hAnsi="Times New Roman"/>
          <w:sz w:val="28"/>
          <w:szCs w:val="28"/>
          <w:lang w:eastAsia="ru-RU"/>
        </w:rPr>
        <w:t>проєкт</w:t>
      </w:r>
      <w:proofErr w:type="spellEnd"/>
      <w:r>
        <w:rPr>
          <w:rFonts w:ascii="Times New Roman" w:hAnsi="Times New Roman"/>
          <w:sz w:val="28"/>
          <w:szCs w:val="28"/>
          <w:lang w:eastAsia="ru-RU"/>
        </w:rPr>
        <w:t xml:space="preserve"> наказу) </w:t>
      </w:r>
      <w:r>
        <w:rPr>
          <w:rFonts w:ascii="Times New Roman" w:hAnsi="Times New Roman"/>
          <w:bCs/>
          <w:sz w:val="28"/>
          <w:szCs w:val="28"/>
        </w:rPr>
        <w:t>розроблено з метою приведення форми Податкової декларації з</w:t>
      </w:r>
      <w:r>
        <w:rPr>
          <w:rFonts w:ascii="Times New Roman" w:hAnsi="Times New Roman"/>
          <w:bCs/>
          <w:sz w:val="28"/>
          <w:szCs w:val="28"/>
          <w:lang w:val="ru-RU"/>
        </w:rPr>
        <w:t> </w:t>
      </w:r>
      <w:r>
        <w:rPr>
          <w:rFonts w:ascii="Times New Roman" w:hAnsi="Times New Roman"/>
          <w:bCs/>
          <w:sz w:val="28"/>
          <w:szCs w:val="28"/>
        </w:rPr>
        <w:t>податку на прибуток підприємств, затвердженої наказом Міністерства фінансів України від 20 жовтня 2015 року № 897, зареєстрованої в Міністерстві юстиції України 11 листопада 2015 року за № 1415/27860 (у редакції наказу Міністерства фінансів України від 28 квітня 2017 року № 467), зі змінами та доповненнями (далі</w:t>
      </w:r>
      <w:bookmarkStart w:id="0" w:name="_Hlk92885978"/>
      <w:r>
        <w:rPr>
          <w:rFonts w:ascii="Times New Roman" w:hAnsi="Times New Roman"/>
          <w:bCs/>
          <w:sz w:val="28"/>
          <w:szCs w:val="28"/>
        </w:rPr>
        <w:t> –</w:t>
      </w:r>
      <w:bookmarkEnd w:id="0"/>
      <w:r>
        <w:rPr>
          <w:rFonts w:ascii="Times New Roman" w:hAnsi="Times New Roman"/>
          <w:bCs/>
          <w:sz w:val="28"/>
          <w:szCs w:val="28"/>
        </w:rPr>
        <w:t xml:space="preserve"> Декларація), у відповідність до </w:t>
      </w:r>
      <w:r w:rsidR="0024576E">
        <w:rPr>
          <w:rFonts w:ascii="Times New Roman" w:hAnsi="Times New Roman"/>
          <w:sz w:val="28"/>
          <w:szCs w:val="28"/>
        </w:rPr>
        <w:t>Закону України від 21 червня 2022 року № 2330-ІХ «Про внесення змін до Податкового кодексу України щодо створення сприятливих умов для діяльності індустріальних парків в Україні»</w:t>
      </w:r>
      <w:r w:rsidR="0024576E" w:rsidRPr="00270C8B">
        <w:rPr>
          <w:rFonts w:ascii="Times New Roman" w:hAnsi="Times New Roman"/>
          <w:sz w:val="28"/>
          <w:szCs w:val="28"/>
        </w:rPr>
        <w:t xml:space="preserve"> (дал</w:t>
      </w:r>
      <w:r w:rsidR="0024576E">
        <w:rPr>
          <w:rFonts w:ascii="Times New Roman" w:hAnsi="Times New Roman"/>
          <w:sz w:val="28"/>
          <w:szCs w:val="28"/>
        </w:rPr>
        <w:t>і</w:t>
      </w:r>
      <w:r w:rsidR="0024576E" w:rsidRPr="00270C8B">
        <w:rPr>
          <w:rFonts w:ascii="Times New Roman" w:hAnsi="Times New Roman"/>
          <w:sz w:val="28"/>
          <w:szCs w:val="28"/>
        </w:rPr>
        <w:t xml:space="preserve"> </w:t>
      </w:r>
      <w:r w:rsidR="0024576E">
        <w:rPr>
          <w:rFonts w:ascii="Times New Roman" w:hAnsi="Times New Roman"/>
          <w:sz w:val="28"/>
          <w:szCs w:val="28"/>
        </w:rPr>
        <w:t>–</w:t>
      </w:r>
      <w:r w:rsidR="0024576E" w:rsidRPr="00270C8B">
        <w:rPr>
          <w:rFonts w:ascii="Times New Roman" w:hAnsi="Times New Roman"/>
          <w:sz w:val="28"/>
          <w:szCs w:val="28"/>
        </w:rPr>
        <w:t xml:space="preserve"> </w:t>
      </w:r>
      <w:r w:rsidR="0024576E">
        <w:rPr>
          <w:rFonts w:ascii="Times New Roman" w:hAnsi="Times New Roman"/>
          <w:sz w:val="28"/>
          <w:szCs w:val="28"/>
        </w:rPr>
        <w:t>Закон)</w:t>
      </w:r>
      <w:r w:rsidR="005D6B91">
        <w:rPr>
          <w:rFonts w:ascii="Times New Roman" w:hAnsi="Times New Roman"/>
          <w:sz w:val="28"/>
          <w:szCs w:val="28"/>
        </w:rPr>
        <w:t>.</w:t>
      </w:r>
      <w:r w:rsidR="0024576E">
        <w:rPr>
          <w:rFonts w:ascii="Times New Roman" w:hAnsi="Times New Roman"/>
          <w:sz w:val="28"/>
          <w:szCs w:val="28"/>
        </w:rPr>
        <w:t xml:space="preserve">  </w:t>
      </w:r>
    </w:p>
    <w:p w14:paraId="216DD2EB" w14:textId="77777777" w:rsidR="00A0476E" w:rsidRDefault="00A0476E">
      <w:pPr>
        <w:spacing w:after="0" w:line="240" w:lineRule="auto"/>
        <w:ind w:firstLine="567"/>
        <w:jc w:val="both"/>
        <w:rPr>
          <w:rFonts w:ascii="Times New Roman" w:hAnsi="Times New Roman"/>
          <w:b/>
          <w:sz w:val="28"/>
          <w:szCs w:val="28"/>
        </w:rPr>
      </w:pPr>
    </w:p>
    <w:p w14:paraId="0D414350" w14:textId="77777777" w:rsidR="00A0476E" w:rsidRDefault="00A65945">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3. Основні положення </w:t>
      </w:r>
      <w:proofErr w:type="spellStart"/>
      <w:r>
        <w:rPr>
          <w:rFonts w:ascii="Times New Roman" w:hAnsi="Times New Roman"/>
          <w:b/>
          <w:sz w:val="28"/>
          <w:szCs w:val="28"/>
        </w:rPr>
        <w:t>проєкту</w:t>
      </w:r>
      <w:proofErr w:type="spellEnd"/>
      <w:r>
        <w:rPr>
          <w:rFonts w:ascii="Times New Roman" w:hAnsi="Times New Roman"/>
          <w:b/>
          <w:sz w:val="28"/>
          <w:szCs w:val="28"/>
        </w:rPr>
        <w:t xml:space="preserve"> </w:t>
      </w:r>
      <w:proofErr w:type="spellStart"/>
      <w:r>
        <w:rPr>
          <w:rFonts w:ascii="Times New Roman" w:hAnsi="Times New Roman"/>
          <w:b/>
          <w:sz w:val="28"/>
          <w:szCs w:val="28"/>
        </w:rPr>
        <w:t>акта</w:t>
      </w:r>
      <w:proofErr w:type="spellEnd"/>
    </w:p>
    <w:p w14:paraId="495DA36F" w14:textId="6EA9E43B" w:rsidR="00B709A7" w:rsidRDefault="00A65945">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Законом </w:t>
      </w:r>
      <w:proofErr w:type="spellStart"/>
      <w:r>
        <w:rPr>
          <w:rFonts w:ascii="Times New Roman" w:hAnsi="Times New Roman"/>
          <w:sz w:val="28"/>
          <w:szCs w:val="28"/>
        </w:rPr>
        <w:t>внесено</w:t>
      </w:r>
      <w:proofErr w:type="spellEnd"/>
      <w:r>
        <w:rPr>
          <w:rFonts w:ascii="Times New Roman" w:hAnsi="Times New Roman"/>
          <w:sz w:val="28"/>
          <w:szCs w:val="28"/>
        </w:rPr>
        <w:t xml:space="preserve"> зміни, зокрема, </w:t>
      </w:r>
      <w:r w:rsidR="00B709A7">
        <w:rPr>
          <w:rFonts w:ascii="Times New Roman" w:hAnsi="Times New Roman"/>
          <w:sz w:val="28"/>
          <w:szCs w:val="28"/>
        </w:rPr>
        <w:t xml:space="preserve">до </w:t>
      </w:r>
      <w:r w:rsidR="005D6B91">
        <w:rPr>
          <w:rFonts w:ascii="Times New Roman" w:hAnsi="Times New Roman"/>
          <w:sz w:val="28"/>
          <w:szCs w:val="28"/>
        </w:rPr>
        <w:t xml:space="preserve">ст. 142 </w:t>
      </w:r>
      <w:r>
        <w:rPr>
          <w:rFonts w:ascii="Times New Roman" w:hAnsi="Times New Roman"/>
          <w:sz w:val="28"/>
          <w:szCs w:val="28"/>
        </w:rPr>
        <w:t>розділу ІІІ «Податок на прибуток підприємств»</w:t>
      </w:r>
      <w:r w:rsidR="00B709A7">
        <w:rPr>
          <w:rFonts w:ascii="Times New Roman" w:hAnsi="Times New Roman"/>
          <w:sz w:val="28"/>
          <w:szCs w:val="28"/>
        </w:rPr>
        <w:t xml:space="preserve"> </w:t>
      </w:r>
      <w:r w:rsidR="00470EE3">
        <w:rPr>
          <w:rFonts w:ascii="Times New Roman" w:hAnsi="Times New Roman"/>
          <w:sz w:val="28"/>
          <w:szCs w:val="28"/>
        </w:rPr>
        <w:t>Кодексу</w:t>
      </w:r>
      <w:r w:rsidR="00470EE3">
        <w:rPr>
          <w:rFonts w:ascii="Times New Roman" w:hAnsi="Times New Roman"/>
          <w:sz w:val="28"/>
          <w:szCs w:val="28"/>
        </w:rPr>
        <w:t xml:space="preserve">, </w:t>
      </w:r>
      <w:r w:rsidR="00B709A7">
        <w:rPr>
          <w:rFonts w:ascii="Times New Roman" w:hAnsi="Times New Roman"/>
          <w:sz w:val="28"/>
          <w:szCs w:val="28"/>
        </w:rPr>
        <w:t xml:space="preserve">яку доповнено новим </w:t>
      </w:r>
      <w:r w:rsidR="005D6B91">
        <w:rPr>
          <w:rFonts w:ascii="Times New Roman" w:hAnsi="Times New Roman"/>
          <w:sz w:val="28"/>
          <w:szCs w:val="28"/>
        </w:rPr>
        <w:t>п</w:t>
      </w:r>
      <w:r w:rsidR="000B4F14">
        <w:rPr>
          <w:rFonts w:ascii="Times New Roman" w:hAnsi="Times New Roman"/>
          <w:sz w:val="28"/>
          <w:szCs w:val="28"/>
        </w:rPr>
        <w:t xml:space="preserve">. </w:t>
      </w:r>
      <w:r w:rsidR="005D6B91">
        <w:rPr>
          <w:rFonts w:ascii="Times New Roman" w:hAnsi="Times New Roman"/>
          <w:sz w:val="28"/>
          <w:szCs w:val="28"/>
        </w:rPr>
        <w:t xml:space="preserve">142.4 </w:t>
      </w:r>
      <w:r>
        <w:rPr>
          <w:rFonts w:ascii="Times New Roman" w:hAnsi="Times New Roman"/>
          <w:sz w:val="28"/>
          <w:szCs w:val="28"/>
        </w:rPr>
        <w:t xml:space="preserve">щодо </w:t>
      </w:r>
      <w:r w:rsidR="00B709A7">
        <w:rPr>
          <w:rFonts w:ascii="Times New Roman" w:hAnsi="Times New Roman"/>
          <w:sz w:val="28"/>
          <w:szCs w:val="28"/>
        </w:rPr>
        <w:t>застосування</w:t>
      </w:r>
      <w:r w:rsidR="00FE1D4A">
        <w:rPr>
          <w:rFonts w:ascii="Times New Roman" w:hAnsi="Times New Roman"/>
          <w:sz w:val="28"/>
          <w:szCs w:val="28"/>
        </w:rPr>
        <w:t xml:space="preserve"> особливостей </w:t>
      </w:r>
      <w:r w:rsidR="005D6B91">
        <w:rPr>
          <w:rFonts w:ascii="Times New Roman" w:hAnsi="Times New Roman"/>
          <w:sz w:val="28"/>
          <w:szCs w:val="28"/>
        </w:rPr>
        <w:t xml:space="preserve"> </w:t>
      </w:r>
      <w:r>
        <w:rPr>
          <w:rFonts w:ascii="Times New Roman" w:hAnsi="Times New Roman"/>
          <w:sz w:val="28"/>
          <w:szCs w:val="28"/>
        </w:rPr>
        <w:t xml:space="preserve">оподаткування </w:t>
      </w:r>
      <w:r w:rsidR="00624072">
        <w:rPr>
          <w:rFonts w:ascii="Times New Roman" w:hAnsi="Times New Roman"/>
          <w:sz w:val="28"/>
          <w:szCs w:val="28"/>
        </w:rPr>
        <w:t xml:space="preserve">до </w:t>
      </w:r>
      <w:r w:rsidR="00FE1D4A">
        <w:rPr>
          <w:rFonts w:ascii="Times New Roman" w:hAnsi="Times New Roman"/>
          <w:sz w:val="28"/>
          <w:szCs w:val="28"/>
        </w:rPr>
        <w:t xml:space="preserve">платника податку </w:t>
      </w:r>
      <w:r w:rsidR="00F72F3D">
        <w:rPr>
          <w:rFonts w:ascii="Times New Roman" w:hAnsi="Times New Roman"/>
          <w:sz w:val="28"/>
          <w:szCs w:val="28"/>
        </w:rPr>
        <w:t>–</w:t>
      </w:r>
      <w:r w:rsidR="00F72F3D" w:rsidRPr="00270C8B">
        <w:rPr>
          <w:rFonts w:ascii="Times New Roman" w:hAnsi="Times New Roman"/>
          <w:sz w:val="28"/>
          <w:szCs w:val="28"/>
        </w:rPr>
        <w:t xml:space="preserve"> </w:t>
      </w:r>
      <w:r w:rsidR="00FE1D4A">
        <w:rPr>
          <w:rFonts w:ascii="Times New Roman" w:hAnsi="Times New Roman"/>
          <w:sz w:val="28"/>
          <w:szCs w:val="28"/>
        </w:rPr>
        <w:t xml:space="preserve"> </w:t>
      </w:r>
      <w:r w:rsidR="005D6B91">
        <w:rPr>
          <w:rFonts w:ascii="Times New Roman" w:hAnsi="Times New Roman"/>
          <w:sz w:val="28"/>
          <w:szCs w:val="28"/>
        </w:rPr>
        <w:t xml:space="preserve">учасника індустріального парку, </w:t>
      </w:r>
      <w:r w:rsidR="00FE1D4A">
        <w:rPr>
          <w:rFonts w:ascii="Times New Roman" w:hAnsi="Times New Roman"/>
          <w:sz w:val="28"/>
          <w:szCs w:val="28"/>
        </w:rPr>
        <w:t>який здійснює в рамках господарської діяльності</w:t>
      </w:r>
      <w:r w:rsidR="003E6F5B">
        <w:rPr>
          <w:rFonts w:ascii="Times New Roman" w:hAnsi="Times New Roman"/>
          <w:sz w:val="28"/>
          <w:szCs w:val="28"/>
        </w:rPr>
        <w:t xml:space="preserve">, контрольовані операції, </w:t>
      </w:r>
      <w:r w:rsidR="00077CCD">
        <w:rPr>
          <w:rFonts w:ascii="Times New Roman" w:hAnsi="Times New Roman"/>
          <w:sz w:val="28"/>
          <w:szCs w:val="28"/>
        </w:rPr>
        <w:t xml:space="preserve">передбачені </w:t>
      </w:r>
      <w:r w:rsidR="003E6F5B">
        <w:rPr>
          <w:rFonts w:ascii="Times New Roman" w:hAnsi="Times New Roman"/>
          <w:sz w:val="28"/>
          <w:szCs w:val="28"/>
        </w:rPr>
        <w:t>ст. 39 Кодексу</w:t>
      </w:r>
      <w:r w:rsidR="00B709A7">
        <w:rPr>
          <w:rFonts w:ascii="Times New Roman" w:hAnsi="Times New Roman"/>
          <w:sz w:val="28"/>
          <w:szCs w:val="28"/>
        </w:rPr>
        <w:t xml:space="preserve">, та </w:t>
      </w:r>
      <w:r w:rsidR="003E6F5B">
        <w:rPr>
          <w:rFonts w:ascii="Times New Roman" w:hAnsi="Times New Roman"/>
          <w:sz w:val="28"/>
          <w:szCs w:val="28"/>
        </w:rPr>
        <w:t>визнач</w:t>
      </w:r>
      <w:r w:rsidR="00B709A7">
        <w:rPr>
          <w:rFonts w:ascii="Times New Roman" w:hAnsi="Times New Roman"/>
          <w:sz w:val="28"/>
          <w:szCs w:val="28"/>
        </w:rPr>
        <w:t>ає</w:t>
      </w:r>
      <w:r w:rsidR="003E6F5B">
        <w:rPr>
          <w:rFonts w:ascii="Times New Roman" w:hAnsi="Times New Roman"/>
          <w:sz w:val="28"/>
          <w:szCs w:val="28"/>
        </w:rPr>
        <w:t xml:space="preserve"> окремо об’єкт оподаткування податком на прибуток підприємств</w:t>
      </w:r>
      <w:r w:rsidR="00B709A7">
        <w:rPr>
          <w:rFonts w:ascii="Times New Roman" w:hAnsi="Times New Roman"/>
          <w:sz w:val="28"/>
          <w:szCs w:val="28"/>
        </w:rPr>
        <w:t xml:space="preserve"> на рівні:</w:t>
      </w:r>
    </w:p>
    <w:p w14:paraId="6CFCB963" w14:textId="77777777" w:rsidR="00B709A7" w:rsidRPr="001A60DE" w:rsidRDefault="00B709A7" w:rsidP="004C585C">
      <w:pPr>
        <w:spacing w:after="0" w:line="240" w:lineRule="auto"/>
        <w:ind w:firstLine="567"/>
        <w:jc w:val="both"/>
        <w:rPr>
          <w:rFonts w:ascii="Times New Roman" w:hAnsi="Times New Roman"/>
          <w:sz w:val="28"/>
          <w:szCs w:val="28"/>
        </w:rPr>
      </w:pPr>
      <w:r w:rsidRPr="001A60DE">
        <w:rPr>
          <w:rFonts w:ascii="Times New Roman" w:hAnsi="Times New Roman"/>
          <w:sz w:val="28"/>
          <w:szCs w:val="28"/>
        </w:rPr>
        <w:t xml:space="preserve">перевищення ціни, визначеної за принципом </w:t>
      </w:r>
      <w:r>
        <w:rPr>
          <w:rFonts w:ascii="Times New Roman" w:hAnsi="Times New Roman"/>
          <w:sz w:val="28"/>
          <w:szCs w:val="28"/>
        </w:rPr>
        <w:t>«</w:t>
      </w:r>
      <w:r w:rsidRPr="001A60DE">
        <w:rPr>
          <w:rFonts w:ascii="Times New Roman" w:hAnsi="Times New Roman"/>
          <w:sz w:val="28"/>
          <w:szCs w:val="28"/>
        </w:rPr>
        <w:t>витягнутої руки</w:t>
      </w:r>
      <w:r>
        <w:rPr>
          <w:rFonts w:ascii="Times New Roman" w:hAnsi="Times New Roman"/>
          <w:sz w:val="28"/>
          <w:szCs w:val="28"/>
        </w:rPr>
        <w:t>»</w:t>
      </w:r>
      <w:r w:rsidRPr="001A60DE">
        <w:rPr>
          <w:rFonts w:ascii="Times New Roman" w:hAnsi="Times New Roman"/>
          <w:sz w:val="28"/>
          <w:szCs w:val="28"/>
        </w:rPr>
        <w:t>, над договірною (контрактною) вартістю (вартістю, за якою відповідна операція має відображатися відповідно до національних положень (стандартів) бухгалтерського обліку або міжнародних стандартів фінансової звітності) реалізованих товарів (робіт, послуг);</w:t>
      </w:r>
    </w:p>
    <w:p w14:paraId="3660FF8E" w14:textId="77777777" w:rsidR="00B709A7" w:rsidRDefault="00B709A7" w:rsidP="00B709A7">
      <w:pPr>
        <w:spacing w:after="0" w:line="240" w:lineRule="auto"/>
        <w:jc w:val="both"/>
        <w:rPr>
          <w:rFonts w:ascii="Times New Roman" w:hAnsi="Times New Roman"/>
          <w:sz w:val="28"/>
          <w:szCs w:val="28"/>
        </w:rPr>
      </w:pPr>
      <w:r>
        <w:rPr>
          <w:sz w:val="28"/>
          <w:szCs w:val="28"/>
        </w:rPr>
        <w:tab/>
      </w:r>
      <w:r w:rsidRPr="001A60DE">
        <w:rPr>
          <w:rFonts w:ascii="Times New Roman" w:hAnsi="Times New Roman"/>
          <w:sz w:val="28"/>
          <w:szCs w:val="28"/>
        </w:rPr>
        <w:t xml:space="preserve">перевищення договірної (контрактної) вартості (вартості, за якою відповідна операція має відображатися відповідно до національних положень (стандартів) бухгалтерського обліку або міжнародних стандартів фінансової звітності) придбаних товарів (робіт, послуг) над ціною, визначеною за принципом </w:t>
      </w:r>
      <w:r>
        <w:rPr>
          <w:rFonts w:ascii="Times New Roman" w:hAnsi="Times New Roman"/>
          <w:sz w:val="28"/>
          <w:szCs w:val="28"/>
        </w:rPr>
        <w:t>«</w:t>
      </w:r>
      <w:r w:rsidRPr="001A60DE">
        <w:rPr>
          <w:rFonts w:ascii="Times New Roman" w:hAnsi="Times New Roman"/>
          <w:sz w:val="28"/>
          <w:szCs w:val="28"/>
        </w:rPr>
        <w:t>витягнутої руки</w:t>
      </w:r>
      <w:r>
        <w:rPr>
          <w:rFonts w:ascii="Times New Roman" w:hAnsi="Times New Roman"/>
          <w:sz w:val="28"/>
          <w:szCs w:val="28"/>
        </w:rPr>
        <w:t>»</w:t>
      </w:r>
      <w:r w:rsidRPr="001A60DE">
        <w:rPr>
          <w:rFonts w:ascii="Times New Roman" w:hAnsi="Times New Roman"/>
          <w:sz w:val="28"/>
          <w:szCs w:val="28"/>
        </w:rPr>
        <w:t>.</w:t>
      </w:r>
    </w:p>
    <w:p w14:paraId="4238B657" w14:textId="371F9BAA" w:rsidR="00B709A7" w:rsidRPr="00A854A8" w:rsidRDefault="00531C7C" w:rsidP="00B709A7">
      <w:pPr>
        <w:spacing w:after="0" w:line="240" w:lineRule="auto"/>
        <w:ind w:firstLine="708"/>
        <w:jc w:val="both"/>
        <w:rPr>
          <w:rFonts w:ascii="Times New Roman" w:hAnsi="Times New Roman"/>
          <w:sz w:val="28"/>
          <w:szCs w:val="28"/>
        </w:rPr>
      </w:pPr>
      <w:r>
        <w:rPr>
          <w:rFonts w:ascii="Times New Roman" w:hAnsi="Times New Roman"/>
          <w:sz w:val="28"/>
          <w:szCs w:val="28"/>
        </w:rPr>
        <w:t>У разі я</w:t>
      </w:r>
      <w:r w:rsidR="00B709A7" w:rsidRPr="00A854A8">
        <w:rPr>
          <w:rFonts w:ascii="Times New Roman" w:hAnsi="Times New Roman"/>
          <w:sz w:val="28"/>
          <w:szCs w:val="28"/>
        </w:rPr>
        <w:t xml:space="preserve">кщо платник податку </w:t>
      </w:r>
      <w:r w:rsidR="00F72F3D">
        <w:rPr>
          <w:rFonts w:ascii="Times New Roman" w:hAnsi="Times New Roman"/>
          <w:sz w:val="28"/>
          <w:szCs w:val="28"/>
        </w:rPr>
        <w:t>–</w:t>
      </w:r>
      <w:r w:rsidR="00F72F3D" w:rsidRPr="00270C8B">
        <w:rPr>
          <w:rFonts w:ascii="Times New Roman" w:hAnsi="Times New Roman"/>
          <w:sz w:val="28"/>
          <w:szCs w:val="28"/>
        </w:rPr>
        <w:t xml:space="preserve"> </w:t>
      </w:r>
      <w:r w:rsidR="00B709A7" w:rsidRPr="00A854A8">
        <w:rPr>
          <w:rFonts w:ascii="Times New Roman" w:hAnsi="Times New Roman"/>
          <w:sz w:val="28"/>
          <w:szCs w:val="28"/>
        </w:rPr>
        <w:t xml:space="preserve">учасник індустріального парку є контролюючою особою, окремим об'єктом оподаткування податком на прибуток підприємств, що оподатковується за базовою (основною) ставкою, є </w:t>
      </w:r>
      <w:r w:rsidR="00B709A7" w:rsidRPr="00A854A8">
        <w:rPr>
          <w:rFonts w:ascii="Times New Roman" w:hAnsi="Times New Roman"/>
          <w:sz w:val="28"/>
          <w:szCs w:val="28"/>
        </w:rPr>
        <w:lastRenderedPageBreak/>
        <w:t>скоригований прибуток контрольованої іноземної компанії, визначений відповідно до ст</w:t>
      </w:r>
      <w:r w:rsidR="00B709A7">
        <w:rPr>
          <w:rFonts w:ascii="Times New Roman" w:hAnsi="Times New Roman"/>
          <w:sz w:val="28"/>
          <w:szCs w:val="28"/>
        </w:rPr>
        <w:t>.</w:t>
      </w:r>
      <w:r w:rsidR="00B709A7" w:rsidRPr="00A854A8">
        <w:rPr>
          <w:rFonts w:ascii="Times New Roman" w:hAnsi="Times New Roman"/>
          <w:sz w:val="28"/>
          <w:szCs w:val="28"/>
        </w:rPr>
        <w:t xml:space="preserve"> 39</w:t>
      </w:r>
      <w:r w:rsidR="00B709A7" w:rsidRPr="00A854A8">
        <w:rPr>
          <w:rFonts w:ascii="Times New Roman" w:hAnsi="Times New Roman"/>
          <w:sz w:val="28"/>
          <w:szCs w:val="28"/>
          <w:vertAlign w:val="superscript"/>
        </w:rPr>
        <w:t xml:space="preserve"> 2</w:t>
      </w:r>
      <w:r w:rsidR="00B709A7" w:rsidRPr="00A854A8">
        <w:rPr>
          <w:rFonts w:ascii="Times New Roman" w:hAnsi="Times New Roman"/>
          <w:sz w:val="28"/>
          <w:szCs w:val="28"/>
        </w:rPr>
        <w:t xml:space="preserve"> Кодексу.</w:t>
      </w:r>
    </w:p>
    <w:p w14:paraId="7DA0E307" w14:textId="77777777" w:rsidR="00B709A7" w:rsidRDefault="00B709A7">
      <w:pPr>
        <w:spacing w:after="0" w:line="240" w:lineRule="auto"/>
        <w:ind w:firstLine="567"/>
        <w:jc w:val="both"/>
        <w:rPr>
          <w:rFonts w:ascii="Times New Roman" w:hAnsi="Times New Roman"/>
          <w:sz w:val="28"/>
          <w:szCs w:val="28"/>
        </w:rPr>
      </w:pPr>
    </w:p>
    <w:p w14:paraId="412042F9" w14:textId="732AFAA5" w:rsidR="00A0476E" w:rsidRDefault="00A65945">
      <w:pPr>
        <w:spacing w:after="0" w:line="240" w:lineRule="auto"/>
        <w:ind w:firstLine="567"/>
        <w:jc w:val="both"/>
        <w:rPr>
          <w:rFonts w:ascii="Times New Roman" w:hAnsi="Times New Roman"/>
          <w:iCs/>
          <w:sz w:val="28"/>
          <w:szCs w:val="28"/>
        </w:rPr>
      </w:pPr>
      <w:r>
        <w:rPr>
          <w:rFonts w:ascii="Times New Roman" w:hAnsi="Times New Roman"/>
          <w:iCs/>
          <w:sz w:val="28"/>
          <w:szCs w:val="28"/>
        </w:rPr>
        <w:t>З метою приведення форми Декларації у відповідність до положень Кодексу передбачається:</w:t>
      </w:r>
    </w:p>
    <w:p w14:paraId="0DB62114" w14:textId="6BE31DDA" w:rsidR="00A0476E" w:rsidRDefault="00DF5BAC">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доповнення позиції «Особливі відмітки» щодо </w:t>
      </w:r>
      <w:r w:rsidR="00A65945">
        <w:rPr>
          <w:rFonts w:ascii="Times New Roman" w:hAnsi="Times New Roman"/>
          <w:iCs/>
          <w:sz w:val="28"/>
          <w:szCs w:val="28"/>
        </w:rPr>
        <w:t>подання Д</w:t>
      </w:r>
      <w:r w:rsidR="00A65945">
        <w:rPr>
          <w:rFonts w:ascii="Times New Roman" w:hAnsi="Times New Roman"/>
          <w:sz w:val="28"/>
          <w:szCs w:val="28"/>
        </w:rPr>
        <w:t xml:space="preserve">екларації </w:t>
      </w:r>
      <w:r>
        <w:rPr>
          <w:rFonts w:ascii="Times New Roman" w:hAnsi="Times New Roman"/>
          <w:sz w:val="28"/>
          <w:szCs w:val="28"/>
        </w:rPr>
        <w:t xml:space="preserve"> - </w:t>
      </w:r>
      <w:r w:rsidR="008C449E">
        <w:rPr>
          <w:rFonts w:ascii="Times New Roman" w:hAnsi="Times New Roman"/>
          <w:sz w:val="28"/>
          <w:szCs w:val="28"/>
        </w:rPr>
        <w:t>учасник</w:t>
      </w:r>
      <w:r w:rsidR="008C449E">
        <w:rPr>
          <w:rFonts w:ascii="Times New Roman" w:hAnsi="Times New Roman"/>
          <w:sz w:val="28"/>
          <w:szCs w:val="28"/>
        </w:rPr>
        <w:t xml:space="preserve">ом </w:t>
      </w:r>
      <w:r w:rsidR="008C449E">
        <w:rPr>
          <w:rFonts w:ascii="Times New Roman" w:hAnsi="Times New Roman"/>
          <w:sz w:val="28"/>
          <w:szCs w:val="28"/>
        </w:rPr>
        <w:t>індустріального парку</w:t>
      </w:r>
      <w:r w:rsidR="00A65945">
        <w:rPr>
          <w:rFonts w:ascii="Times New Roman" w:hAnsi="Times New Roman"/>
          <w:iCs/>
          <w:sz w:val="28"/>
          <w:szCs w:val="28"/>
        </w:rPr>
        <w:t>;</w:t>
      </w:r>
    </w:p>
    <w:p w14:paraId="66A563A9" w14:textId="4E8D9639" w:rsidR="004C585C" w:rsidRDefault="00577941" w:rsidP="004C585C">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замість рядків 03.1 та 03.2 </w:t>
      </w:r>
      <w:r w:rsidR="004C585C">
        <w:rPr>
          <w:rFonts w:ascii="Times New Roman" w:hAnsi="Times New Roman"/>
          <w:iCs/>
          <w:sz w:val="28"/>
          <w:szCs w:val="28"/>
        </w:rPr>
        <w:t>показники</w:t>
      </w:r>
      <w:r w:rsidR="00531C7C">
        <w:rPr>
          <w:rFonts w:ascii="Times New Roman" w:hAnsi="Times New Roman"/>
          <w:iCs/>
          <w:sz w:val="28"/>
          <w:szCs w:val="28"/>
        </w:rPr>
        <w:t xml:space="preserve"> </w:t>
      </w:r>
      <w:r w:rsidR="00F00B11">
        <w:rPr>
          <w:rFonts w:ascii="Times New Roman" w:hAnsi="Times New Roman"/>
          <w:iCs/>
          <w:sz w:val="28"/>
          <w:szCs w:val="28"/>
        </w:rPr>
        <w:t xml:space="preserve">Декларації </w:t>
      </w:r>
      <w:r w:rsidR="004C585C">
        <w:rPr>
          <w:rFonts w:ascii="Times New Roman" w:hAnsi="Times New Roman"/>
          <w:iCs/>
          <w:sz w:val="28"/>
          <w:szCs w:val="28"/>
        </w:rPr>
        <w:t>доповнено рядками</w:t>
      </w:r>
      <w:r w:rsidR="009561DF">
        <w:rPr>
          <w:rFonts w:ascii="Times New Roman" w:hAnsi="Times New Roman"/>
          <w:iCs/>
          <w:sz w:val="28"/>
          <w:szCs w:val="28"/>
        </w:rPr>
        <w:t xml:space="preserve">, які заповнюються </w:t>
      </w:r>
      <w:r w:rsidR="009561DF">
        <w:rPr>
          <w:rFonts w:ascii="Times New Roman" w:hAnsi="Times New Roman"/>
          <w:sz w:val="28"/>
          <w:szCs w:val="28"/>
        </w:rPr>
        <w:t xml:space="preserve">платниками, </w:t>
      </w:r>
      <w:r w:rsidR="009561DF">
        <w:rPr>
          <w:rFonts w:ascii="Times New Roman" w:hAnsi="Times New Roman"/>
          <w:sz w:val="28"/>
          <w:szCs w:val="28"/>
        </w:rPr>
        <w:t xml:space="preserve">що </w:t>
      </w:r>
      <w:r w:rsidR="009561DF">
        <w:rPr>
          <w:rFonts w:ascii="Times New Roman" w:hAnsi="Times New Roman"/>
          <w:sz w:val="28"/>
          <w:szCs w:val="28"/>
        </w:rPr>
        <w:t>застосовують особливості оподаткування податком на прибуток підприємств</w:t>
      </w:r>
      <w:r w:rsidR="00334C99">
        <w:rPr>
          <w:rFonts w:ascii="Times New Roman" w:hAnsi="Times New Roman"/>
          <w:sz w:val="28"/>
          <w:szCs w:val="28"/>
        </w:rPr>
        <w:t xml:space="preserve">, </w:t>
      </w:r>
      <w:r w:rsidR="009561DF">
        <w:rPr>
          <w:rFonts w:ascii="Times New Roman" w:hAnsi="Times New Roman"/>
          <w:iCs/>
          <w:sz w:val="28"/>
          <w:szCs w:val="28"/>
        </w:rPr>
        <w:t xml:space="preserve"> та</w:t>
      </w:r>
      <w:r w:rsidR="004C585C">
        <w:rPr>
          <w:rFonts w:ascii="Times New Roman" w:hAnsi="Times New Roman"/>
          <w:iCs/>
          <w:sz w:val="28"/>
          <w:szCs w:val="28"/>
        </w:rPr>
        <w:t xml:space="preserve"> в яких зазначаються:</w:t>
      </w:r>
    </w:p>
    <w:p w14:paraId="7019107C" w14:textId="2E6C12AD" w:rsidR="001534ED" w:rsidRDefault="001534ED" w:rsidP="001534ED">
      <w:pPr>
        <w:spacing w:after="0" w:line="240" w:lineRule="auto"/>
        <w:ind w:firstLine="567"/>
        <w:jc w:val="both"/>
        <w:rPr>
          <w:rFonts w:ascii="Times New Roman" w:hAnsi="Times New Roman"/>
          <w:sz w:val="28"/>
          <w:szCs w:val="28"/>
        </w:rPr>
      </w:pPr>
      <w:r>
        <w:rPr>
          <w:rFonts w:ascii="Times New Roman" w:hAnsi="Times New Roman"/>
          <w:iCs/>
          <w:sz w:val="28"/>
          <w:szCs w:val="28"/>
        </w:rPr>
        <w:t>с</w:t>
      </w:r>
      <w:r w:rsidRPr="00DB010D">
        <w:rPr>
          <w:rFonts w:ascii="Times New Roman" w:hAnsi="Times New Roman"/>
          <w:sz w:val="28"/>
          <w:szCs w:val="28"/>
        </w:rPr>
        <w:t>ум</w:t>
      </w:r>
      <w:r>
        <w:rPr>
          <w:rFonts w:ascii="Times New Roman" w:hAnsi="Times New Roman"/>
          <w:sz w:val="28"/>
          <w:szCs w:val="28"/>
        </w:rPr>
        <w:t>и</w:t>
      </w:r>
      <w:r w:rsidRPr="00DB010D">
        <w:rPr>
          <w:rFonts w:ascii="Times New Roman" w:hAnsi="Times New Roman"/>
          <w:sz w:val="28"/>
          <w:szCs w:val="28"/>
        </w:rPr>
        <w:t xml:space="preserve"> перевищення ціни, визначеної за принципом </w:t>
      </w:r>
      <w:r>
        <w:rPr>
          <w:rFonts w:ascii="Times New Roman" w:hAnsi="Times New Roman"/>
          <w:sz w:val="28"/>
          <w:szCs w:val="28"/>
        </w:rPr>
        <w:t>«</w:t>
      </w:r>
      <w:r w:rsidRPr="00DB010D">
        <w:rPr>
          <w:rFonts w:ascii="Times New Roman" w:hAnsi="Times New Roman"/>
          <w:sz w:val="28"/>
          <w:szCs w:val="28"/>
        </w:rPr>
        <w:t>витягнутої руки</w:t>
      </w:r>
      <w:r>
        <w:rPr>
          <w:rFonts w:ascii="Times New Roman" w:hAnsi="Times New Roman"/>
          <w:sz w:val="28"/>
          <w:szCs w:val="28"/>
        </w:rPr>
        <w:t>»</w:t>
      </w:r>
      <w:r w:rsidRPr="00DB010D">
        <w:rPr>
          <w:rFonts w:ascii="Times New Roman" w:hAnsi="Times New Roman"/>
          <w:sz w:val="28"/>
          <w:szCs w:val="28"/>
        </w:rPr>
        <w:t>, над договірною (контрактною) вартістю реалізованих товарів (робіт, послуг) при здійсненні контрольованих операцій платником податку</w:t>
      </w:r>
      <w:r w:rsidR="00EE7E68">
        <w:rPr>
          <w:rFonts w:ascii="Times New Roman" w:hAnsi="Times New Roman"/>
          <w:sz w:val="28"/>
          <w:szCs w:val="28"/>
          <w:vertAlign w:val="superscript"/>
        </w:rPr>
        <w:t>4</w:t>
      </w:r>
      <w:r w:rsidRPr="00DB010D">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(рядок 0</w:t>
      </w:r>
      <w:r>
        <w:rPr>
          <w:rFonts w:ascii="Times New Roman" w:hAnsi="Times New Roman"/>
          <w:sz w:val="28"/>
          <w:szCs w:val="28"/>
        </w:rPr>
        <w:t>6</w:t>
      </w:r>
      <w:r>
        <w:rPr>
          <w:rFonts w:ascii="Times New Roman" w:hAnsi="Times New Roman"/>
          <w:sz w:val="28"/>
          <w:szCs w:val="28"/>
        </w:rPr>
        <w:t>.</w:t>
      </w:r>
      <w:r>
        <w:rPr>
          <w:rFonts w:ascii="Times New Roman" w:hAnsi="Times New Roman"/>
          <w:sz w:val="28"/>
          <w:szCs w:val="28"/>
        </w:rPr>
        <w:t>4</w:t>
      </w:r>
      <w:r>
        <w:rPr>
          <w:rFonts w:ascii="Times New Roman" w:hAnsi="Times New Roman"/>
          <w:sz w:val="28"/>
          <w:szCs w:val="28"/>
        </w:rPr>
        <w:t>);</w:t>
      </w:r>
    </w:p>
    <w:p w14:paraId="0C9A5FC8" w14:textId="07D6F06B" w:rsidR="001534ED" w:rsidRDefault="001534ED" w:rsidP="001534ED">
      <w:pPr>
        <w:spacing w:after="0" w:line="240" w:lineRule="auto"/>
        <w:ind w:firstLine="567"/>
        <w:jc w:val="both"/>
        <w:rPr>
          <w:rFonts w:ascii="Times New Roman" w:hAnsi="Times New Roman"/>
          <w:sz w:val="28"/>
          <w:szCs w:val="28"/>
        </w:rPr>
      </w:pPr>
      <w:r>
        <w:rPr>
          <w:rFonts w:ascii="Times New Roman" w:hAnsi="Times New Roman"/>
          <w:sz w:val="28"/>
          <w:szCs w:val="28"/>
        </w:rPr>
        <w:t>с</w:t>
      </w:r>
      <w:r w:rsidRPr="00DB010D">
        <w:rPr>
          <w:rFonts w:ascii="Times New Roman" w:hAnsi="Times New Roman"/>
          <w:sz w:val="28"/>
          <w:szCs w:val="28"/>
        </w:rPr>
        <w:t>ум</w:t>
      </w:r>
      <w:r>
        <w:rPr>
          <w:rFonts w:ascii="Times New Roman" w:hAnsi="Times New Roman"/>
          <w:sz w:val="28"/>
          <w:szCs w:val="28"/>
        </w:rPr>
        <w:t>и</w:t>
      </w:r>
      <w:r w:rsidRPr="00DB010D">
        <w:rPr>
          <w:rFonts w:ascii="Times New Roman" w:hAnsi="Times New Roman"/>
          <w:sz w:val="28"/>
          <w:szCs w:val="28"/>
        </w:rPr>
        <w:t xml:space="preserve"> перевищення договірної (контрактної) вартості придбаних товарів (робіт, послуг) над ціною, визначеною за принципом </w:t>
      </w:r>
      <w:r>
        <w:rPr>
          <w:rFonts w:ascii="Times New Roman" w:hAnsi="Times New Roman"/>
          <w:sz w:val="28"/>
          <w:szCs w:val="28"/>
        </w:rPr>
        <w:t>«</w:t>
      </w:r>
      <w:r w:rsidRPr="00DB010D">
        <w:rPr>
          <w:rFonts w:ascii="Times New Roman" w:hAnsi="Times New Roman"/>
          <w:sz w:val="28"/>
          <w:szCs w:val="28"/>
        </w:rPr>
        <w:t>витягнутої руки</w:t>
      </w:r>
      <w:r>
        <w:rPr>
          <w:rFonts w:ascii="Times New Roman" w:hAnsi="Times New Roman"/>
          <w:sz w:val="28"/>
          <w:szCs w:val="28"/>
        </w:rPr>
        <w:t>»</w:t>
      </w:r>
      <w:r w:rsidRPr="00DB010D">
        <w:rPr>
          <w:rFonts w:ascii="Times New Roman" w:hAnsi="Times New Roman"/>
          <w:sz w:val="28"/>
          <w:szCs w:val="28"/>
        </w:rPr>
        <w:t xml:space="preserve"> при здійсненні контрольованих операцій платником податку</w:t>
      </w:r>
      <w:r w:rsidR="00EE7E68">
        <w:rPr>
          <w:rFonts w:ascii="Times New Roman" w:hAnsi="Times New Roman"/>
          <w:sz w:val="28"/>
          <w:szCs w:val="28"/>
          <w:vertAlign w:val="superscript"/>
        </w:rPr>
        <w:t>4</w:t>
      </w:r>
      <w:r w:rsidRPr="00DB010D">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(рядок 0</w:t>
      </w:r>
      <w:r>
        <w:rPr>
          <w:rFonts w:ascii="Times New Roman" w:hAnsi="Times New Roman"/>
          <w:sz w:val="28"/>
          <w:szCs w:val="28"/>
        </w:rPr>
        <w:t>6</w:t>
      </w:r>
      <w:r>
        <w:rPr>
          <w:rFonts w:ascii="Times New Roman" w:hAnsi="Times New Roman"/>
          <w:sz w:val="28"/>
          <w:szCs w:val="28"/>
        </w:rPr>
        <w:t>.</w:t>
      </w:r>
      <w:r>
        <w:rPr>
          <w:rFonts w:ascii="Times New Roman" w:hAnsi="Times New Roman"/>
          <w:sz w:val="28"/>
          <w:szCs w:val="28"/>
        </w:rPr>
        <w:t>5</w:t>
      </w:r>
      <w:r>
        <w:rPr>
          <w:rFonts w:ascii="Times New Roman" w:hAnsi="Times New Roman"/>
          <w:sz w:val="28"/>
          <w:szCs w:val="28"/>
        </w:rPr>
        <w:t>)</w:t>
      </w:r>
      <w:r w:rsidR="008509F5">
        <w:rPr>
          <w:rFonts w:ascii="Times New Roman" w:hAnsi="Times New Roman"/>
          <w:sz w:val="28"/>
          <w:szCs w:val="28"/>
        </w:rPr>
        <w:t>;</w:t>
      </w:r>
    </w:p>
    <w:p w14:paraId="1F1FAED8" w14:textId="62CE4065" w:rsidR="00A0476E" w:rsidRDefault="00A65945">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доповнення </w:t>
      </w:r>
      <w:r w:rsidR="008C449E">
        <w:rPr>
          <w:rFonts w:ascii="Times New Roman" w:hAnsi="Times New Roman"/>
          <w:iCs/>
          <w:sz w:val="28"/>
          <w:szCs w:val="28"/>
        </w:rPr>
        <w:t>рядка 17</w:t>
      </w:r>
      <w:r w:rsidR="00E00E59">
        <w:rPr>
          <w:rFonts w:ascii="Times New Roman" w:hAnsi="Times New Roman"/>
          <w:iCs/>
          <w:sz w:val="28"/>
          <w:szCs w:val="28"/>
        </w:rPr>
        <w:t xml:space="preserve"> показниками</w:t>
      </w:r>
      <w:r w:rsidR="009561DF">
        <w:rPr>
          <w:rFonts w:ascii="Times New Roman" w:hAnsi="Times New Roman"/>
          <w:iCs/>
          <w:sz w:val="28"/>
          <w:szCs w:val="28"/>
        </w:rPr>
        <w:t xml:space="preserve"> (рядки 06.4 та 06.5)</w:t>
      </w:r>
      <w:r>
        <w:rPr>
          <w:rFonts w:ascii="Times New Roman" w:hAnsi="Times New Roman"/>
          <w:iCs/>
          <w:sz w:val="28"/>
          <w:szCs w:val="28"/>
        </w:rPr>
        <w:t>, як</w:t>
      </w:r>
      <w:r w:rsidR="004631E1">
        <w:rPr>
          <w:rFonts w:ascii="Times New Roman" w:hAnsi="Times New Roman"/>
          <w:iCs/>
          <w:sz w:val="28"/>
          <w:szCs w:val="28"/>
        </w:rPr>
        <w:t>і</w:t>
      </w:r>
      <w:r w:rsidR="008C449E">
        <w:rPr>
          <w:rFonts w:ascii="Times New Roman" w:hAnsi="Times New Roman"/>
          <w:iCs/>
          <w:sz w:val="28"/>
          <w:szCs w:val="28"/>
        </w:rPr>
        <w:t xml:space="preserve"> </w:t>
      </w:r>
      <w:r>
        <w:rPr>
          <w:rFonts w:ascii="Times New Roman" w:hAnsi="Times New Roman"/>
          <w:iCs/>
          <w:sz w:val="28"/>
          <w:szCs w:val="28"/>
        </w:rPr>
        <w:t xml:space="preserve">враховуються при </w:t>
      </w:r>
      <w:r w:rsidR="00531C7C">
        <w:rPr>
          <w:rFonts w:ascii="Times New Roman" w:hAnsi="Times New Roman"/>
          <w:iCs/>
          <w:sz w:val="28"/>
          <w:szCs w:val="28"/>
        </w:rPr>
        <w:t>визначенні п</w:t>
      </w:r>
      <w:r w:rsidR="00531C7C" w:rsidRPr="00B17D21">
        <w:rPr>
          <w:rFonts w:ascii="Times New Roman" w:hAnsi="Times New Roman"/>
          <w:color w:val="000000" w:themeColor="text1"/>
          <w:sz w:val="28"/>
          <w:szCs w:val="28"/>
        </w:rPr>
        <w:t>одатк</w:t>
      </w:r>
      <w:r w:rsidR="00531C7C">
        <w:rPr>
          <w:rFonts w:ascii="Times New Roman" w:hAnsi="Times New Roman"/>
          <w:color w:val="000000" w:themeColor="text1"/>
          <w:sz w:val="28"/>
          <w:szCs w:val="28"/>
        </w:rPr>
        <w:t>у</w:t>
      </w:r>
      <w:r w:rsidR="00531C7C" w:rsidRPr="00B17D21">
        <w:rPr>
          <w:rFonts w:ascii="Times New Roman" w:hAnsi="Times New Roman"/>
          <w:color w:val="000000" w:themeColor="text1"/>
          <w:sz w:val="28"/>
          <w:szCs w:val="28"/>
        </w:rPr>
        <w:t xml:space="preserve"> на прибуток за звітний (податковий) період</w:t>
      </w:r>
      <w:r w:rsidR="001534ED">
        <w:rPr>
          <w:rFonts w:ascii="Times New Roman" w:hAnsi="Times New Roman"/>
          <w:iCs/>
          <w:sz w:val="28"/>
          <w:szCs w:val="28"/>
        </w:rPr>
        <w:t xml:space="preserve">; </w:t>
      </w:r>
    </w:p>
    <w:p w14:paraId="18551B3E" w14:textId="1ADD98AF" w:rsidR="0076617E" w:rsidRDefault="00B31975">
      <w:pPr>
        <w:spacing w:after="0" w:line="240" w:lineRule="auto"/>
        <w:ind w:firstLine="567"/>
        <w:jc w:val="both"/>
        <w:rPr>
          <w:rFonts w:ascii="Times New Roman" w:hAnsi="Times New Roman"/>
          <w:sz w:val="28"/>
          <w:szCs w:val="28"/>
        </w:rPr>
      </w:pPr>
      <w:r>
        <w:rPr>
          <w:rFonts w:ascii="Times New Roman" w:hAnsi="Times New Roman"/>
          <w:sz w:val="28"/>
          <w:szCs w:val="28"/>
        </w:rPr>
        <w:t xml:space="preserve">викладення виноски </w:t>
      </w:r>
      <w:r w:rsidRPr="00B31975">
        <w:rPr>
          <w:rFonts w:ascii="Times New Roman" w:hAnsi="Times New Roman"/>
          <w:sz w:val="28"/>
          <w:szCs w:val="28"/>
          <w:vertAlign w:val="superscript"/>
        </w:rPr>
        <w:t>«4»</w:t>
      </w:r>
      <w:r>
        <w:rPr>
          <w:rFonts w:ascii="Times New Roman" w:hAnsi="Times New Roman"/>
          <w:sz w:val="28"/>
          <w:szCs w:val="28"/>
        </w:rPr>
        <w:t xml:space="preserve"> у новій редакції</w:t>
      </w:r>
      <w:r w:rsidR="00EE7E68">
        <w:rPr>
          <w:rFonts w:ascii="Times New Roman" w:hAnsi="Times New Roman"/>
          <w:sz w:val="28"/>
          <w:szCs w:val="28"/>
        </w:rPr>
        <w:t xml:space="preserve">, згідно якої відповідні показники та рядки </w:t>
      </w:r>
      <w:r w:rsidR="000A7ED3">
        <w:rPr>
          <w:rFonts w:ascii="Times New Roman" w:hAnsi="Times New Roman"/>
          <w:sz w:val="28"/>
          <w:szCs w:val="28"/>
        </w:rPr>
        <w:t>Д</w:t>
      </w:r>
      <w:r w:rsidR="00EE7E68">
        <w:rPr>
          <w:rFonts w:ascii="Times New Roman" w:hAnsi="Times New Roman"/>
          <w:sz w:val="28"/>
          <w:szCs w:val="28"/>
        </w:rPr>
        <w:t xml:space="preserve">екларації заповнюються </w:t>
      </w:r>
      <w:r w:rsidR="009B411D">
        <w:rPr>
          <w:rFonts w:ascii="Times New Roman" w:hAnsi="Times New Roman"/>
          <w:sz w:val="28"/>
          <w:szCs w:val="28"/>
        </w:rPr>
        <w:t>платниками</w:t>
      </w:r>
      <w:r w:rsidR="0076617E">
        <w:rPr>
          <w:rFonts w:ascii="Times New Roman" w:hAnsi="Times New Roman"/>
          <w:sz w:val="28"/>
          <w:szCs w:val="28"/>
        </w:rPr>
        <w:t>, як</w:t>
      </w:r>
      <w:r w:rsidR="009B411D">
        <w:rPr>
          <w:rFonts w:ascii="Times New Roman" w:hAnsi="Times New Roman"/>
          <w:sz w:val="28"/>
          <w:szCs w:val="28"/>
        </w:rPr>
        <w:t>і застосовують особливості оподаткування податком на прибуток підприємств</w:t>
      </w:r>
      <w:r w:rsidR="004E4BAE">
        <w:rPr>
          <w:rFonts w:ascii="Times New Roman" w:hAnsi="Times New Roman"/>
          <w:sz w:val="28"/>
          <w:szCs w:val="28"/>
        </w:rPr>
        <w:t xml:space="preserve"> (</w:t>
      </w:r>
      <w:r w:rsidR="004E4BAE" w:rsidRPr="006643EF">
        <w:rPr>
          <w:rFonts w:ascii="Times New Roman" w:hAnsi="Times New Roman"/>
          <w:sz w:val="28"/>
          <w:szCs w:val="28"/>
        </w:rPr>
        <w:t>підприємства</w:t>
      </w:r>
      <w:r w:rsidR="004E4BAE">
        <w:rPr>
          <w:rFonts w:ascii="Times New Roman" w:hAnsi="Times New Roman"/>
          <w:sz w:val="28"/>
          <w:szCs w:val="28"/>
        </w:rPr>
        <w:t xml:space="preserve">ми </w:t>
      </w:r>
      <w:r w:rsidR="004E4BAE" w:rsidRPr="006643EF">
        <w:rPr>
          <w:rFonts w:ascii="Times New Roman" w:hAnsi="Times New Roman"/>
          <w:sz w:val="28"/>
          <w:szCs w:val="28"/>
        </w:rPr>
        <w:t>-</w:t>
      </w:r>
      <w:r w:rsidR="004E4BAE">
        <w:rPr>
          <w:rFonts w:ascii="Times New Roman" w:hAnsi="Times New Roman"/>
          <w:sz w:val="28"/>
          <w:szCs w:val="28"/>
        </w:rPr>
        <w:t xml:space="preserve"> </w:t>
      </w:r>
      <w:r w:rsidR="004E4BAE" w:rsidRPr="006643EF">
        <w:rPr>
          <w:rFonts w:ascii="Times New Roman" w:hAnsi="Times New Roman"/>
          <w:sz w:val="28"/>
          <w:szCs w:val="28"/>
        </w:rPr>
        <w:t>інвестора</w:t>
      </w:r>
      <w:r w:rsidR="004E4BAE">
        <w:rPr>
          <w:rFonts w:ascii="Times New Roman" w:hAnsi="Times New Roman"/>
          <w:sz w:val="28"/>
          <w:szCs w:val="28"/>
        </w:rPr>
        <w:t>ми</w:t>
      </w:r>
      <w:r w:rsidR="004E4BAE" w:rsidRPr="006643EF">
        <w:rPr>
          <w:rFonts w:ascii="Times New Roman" w:hAnsi="Times New Roman"/>
          <w:sz w:val="28"/>
          <w:szCs w:val="28"/>
        </w:rPr>
        <w:t xml:space="preserve"> із значними інвестиціями при виконанні спеціального інвестиційного договору</w:t>
      </w:r>
      <w:r w:rsidR="004E4BAE">
        <w:rPr>
          <w:rFonts w:ascii="Times New Roman" w:hAnsi="Times New Roman"/>
          <w:sz w:val="28"/>
          <w:szCs w:val="28"/>
        </w:rPr>
        <w:t xml:space="preserve"> та учасниками індустріального парку</w:t>
      </w:r>
      <w:r w:rsidR="000A7ED3">
        <w:rPr>
          <w:rFonts w:ascii="Times New Roman" w:hAnsi="Times New Roman"/>
          <w:sz w:val="28"/>
          <w:szCs w:val="28"/>
        </w:rPr>
        <w:t>)</w:t>
      </w:r>
      <w:r w:rsidR="009B411D">
        <w:rPr>
          <w:rFonts w:ascii="Times New Roman" w:hAnsi="Times New Roman"/>
          <w:sz w:val="28"/>
          <w:szCs w:val="28"/>
        </w:rPr>
        <w:t>.</w:t>
      </w:r>
      <w:r w:rsidR="0076617E">
        <w:rPr>
          <w:rFonts w:ascii="Times New Roman" w:hAnsi="Times New Roman"/>
          <w:sz w:val="28"/>
          <w:szCs w:val="28"/>
        </w:rPr>
        <w:t xml:space="preserve"> </w:t>
      </w:r>
      <w:r>
        <w:rPr>
          <w:rFonts w:ascii="Times New Roman" w:hAnsi="Times New Roman"/>
          <w:sz w:val="28"/>
          <w:szCs w:val="28"/>
        </w:rPr>
        <w:t xml:space="preserve"> </w:t>
      </w:r>
    </w:p>
    <w:p w14:paraId="4EFD16F1" w14:textId="77777777" w:rsidR="0076617E" w:rsidRDefault="0076617E">
      <w:pPr>
        <w:spacing w:after="0" w:line="240" w:lineRule="auto"/>
        <w:ind w:firstLine="567"/>
        <w:jc w:val="both"/>
        <w:rPr>
          <w:rFonts w:ascii="Times New Roman" w:hAnsi="Times New Roman"/>
          <w:sz w:val="28"/>
          <w:szCs w:val="28"/>
        </w:rPr>
      </w:pPr>
    </w:p>
    <w:p w14:paraId="3F1A0D07" w14:textId="7A79F7BE" w:rsidR="00A0476E" w:rsidRDefault="008650D6">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 </w:t>
      </w:r>
      <w:r w:rsidR="00A65945">
        <w:rPr>
          <w:rFonts w:ascii="Times New Roman" w:hAnsi="Times New Roman"/>
          <w:b/>
          <w:sz w:val="28"/>
          <w:szCs w:val="28"/>
        </w:rPr>
        <w:t>4. Правові аспекти</w:t>
      </w:r>
    </w:p>
    <w:p w14:paraId="65728FF2" w14:textId="2D865C62" w:rsidR="00A0476E" w:rsidRDefault="00A65945">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Проєкт</w:t>
      </w:r>
      <w:proofErr w:type="spellEnd"/>
      <w:r>
        <w:rPr>
          <w:rFonts w:ascii="Times New Roman" w:hAnsi="Times New Roman"/>
          <w:sz w:val="28"/>
          <w:szCs w:val="28"/>
        </w:rPr>
        <w:t xml:space="preserve"> наказу розроблено на виконання </w:t>
      </w:r>
      <w:bookmarkStart w:id="1" w:name="_Hlk89851873"/>
      <w:r w:rsidR="008650D6">
        <w:rPr>
          <w:rFonts w:ascii="Times New Roman" w:hAnsi="Times New Roman"/>
          <w:sz w:val="28"/>
          <w:szCs w:val="28"/>
        </w:rPr>
        <w:t xml:space="preserve">п. 1.4 Плану організації  підготовки </w:t>
      </w:r>
      <w:proofErr w:type="spellStart"/>
      <w:r w:rsidR="008650D6">
        <w:rPr>
          <w:rFonts w:ascii="Times New Roman" w:hAnsi="Times New Roman"/>
          <w:sz w:val="28"/>
          <w:szCs w:val="28"/>
        </w:rPr>
        <w:t>проєктів</w:t>
      </w:r>
      <w:proofErr w:type="spellEnd"/>
      <w:r w:rsidR="008650D6">
        <w:rPr>
          <w:rFonts w:ascii="Times New Roman" w:hAnsi="Times New Roman"/>
          <w:sz w:val="28"/>
          <w:szCs w:val="28"/>
        </w:rPr>
        <w:t xml:space="preserve"> актів та виконання інших завдань, необхідних для забезпечення реалізації Закону щодо приведення власних нормативно-правових актів у відповідність із Законом згідно доручення Прем’єр-міністра України </w:t>
      </w:r>
      <w:r w:rsidR="00B51C5C">
        <w:rPr>
          <w:rFonts w:ascii="Times New Roman" w:hAnsi="Times New Roman"/>
          <w:sz w:val="28"/>
          <w:szCs w:val="28"/>
        </w:rPr>
        <w:br/>
      </w:r>
      <w:r w:rsidR="008650D6">
        <w:rPr>
          <w:rFonts w:ascii="Times New Roman" w:hAnsi="Times New Roman"/>
          <w:sz w:val="28"/>
          <w:szCs w:val="28"/>
        </w:rPr>
        <w:t xml:space="preserve">Дениса </w:t>
      </w:r>
      <w:proofErr w:type="spellStart"/>
      <w:r w:rsidR="008650D6">
        <w:rPr>
          <w:rFonts w:ascii="Times New Roman" w:hAnsi="Times New Roman"/>
          <w:sz w:val="28"/>
          <w:szCs w:val="28"/>
        </w:rPr>
        <w:t>Шмигаля</w:t>
      </w:r>
      <w:proofErr w:type="spellEnd"/>
      <w:r w:rsidR="008650D6">
        <w:rPr>
          <w:rFonts w:ascii="Times New Roman" w:hAnsi="Times New Roman"/>
          <w:sz w:val="28"/>
          <w:szCs w:val="28"/>
        </w:rPr>
        <w:t xml:space="preserve"> від 26.07.2022 № 18445/1/1-22</w:t>
      </w:r>
      <w:r w:rsidR="008650D6">
        <w:rPr>
          <w:rFonts w:ascii="Times New Roman" w:hAnsi="Times New Roman"/>
          <w:sz w:val="28"/>
          <w:szCs w:val="28"/>
        </w:rPr>
        <w:t>,</w:t>
      </w:r>
      <w:r w:rsidR="008650D6">
        <w:rPr>
          <w:rFonts w:ascii="Times New Roman" w:hAnsi="Times New Roman"/>
          <w:sz w:val="28"/>
          <w:szCs w:val="28"/>
        </w:rPr>
        <w:t xml:space="preserve"> </w:t>
      </w:r>
      <w:r>
        <w:rPr>
          <w:rFonts w:ascii="Times New Roman" w:hAnsi="Times New Roman"/>
          <w:sz w:val="28"/>
          <w:szCs w:val="28"/>
        </w:rPr>
        <w:t xml:space="preserve">вимог пункту </w:t>
      </w:r>
      <w:r w:rsidR="008650D6">
        <w:rPr>
          <w:rFonts w:ascii="Times New Roman" w:hAnsi="Times New Roman"/>
          <w:sz w:val="28"/>
          <w:szCs w:val="28"/>
        </w:rPr>
        <w:t>3</w:t>
      </w:r>
      <w:r>
        <w:rPr>
          <w:rFonts w:ascii="Times New Roman" w:hAnsi="Times New Roman"/>
          <w:sz w:val="28"/>
          <w:szCs w:val="28"/>
        </w:rPr>
        <w:t xml:space="preserve"> розділу</w:t>
      </w:r>
      <w:r>
        <w:rPr>
          <w:rFonts w:ascii="Times New Roman" w:hAnsi="Times New Roman"/>
          <w:sz w:val="28"/>
          <w:szCs w:val="28"/>
          <w:lang w:val="ru-RU"/>
        </w:rPr>
        <w:t> </w:t>
      </w:r>
      <w:r>
        <w:rPr>
          <w:rFonts w:ascii="Times New Roman" w:hAnsi="Times New Roman"/>
          <w:sz w:val="28"/>
          <w:szCs w:val="28"/>
        </w:rPr>
        <w:t>ІІ Закону</w:t>
      </w:r>
      <w:r w:rsidR="008650D6">
        <w:rPr>
          <w:rFonts w:ascii="Times New Roman" w:hAnsi="Times New Roman"/>
          <w:sz w:val="28"/>
          <w:szCs w:val="28"/>
        </w:rPr>
        <w:t xml:space="preserve">,  </w:t>
      </w:r>
      <w:r>
        <w:rPr>
          <w:rFonts w:ascii="Times New Roman" w:hAnsi="Times New Roman"/>
          <w:sz w:val="28"/>
          <w:szCs w:val="28"/>
        </w:rPr>
        <w:t>та Кодексу.</w:t>
      </w:r>
      <w:bookmarkEnd w:id="1"/>
    </w:p>
    <w:p w14:paraId="77091EE9" w14:textId="77777777" w:rsidR="00A0476E" w:rsidRDefault="00A0476E">
      <w:pPr>
        <w:spacing w:after="0" w:line="240" w:lineRule="auto"/>
        <w:ind w:firstLine="567"/>
        <w:jc w:val="both"/>
        <w:rPr>
          <w:rFonts w:ascii="Times New Roman" w:hAnsi="Times New Roman"/>
          <w:b/>
          <w:sz w:val="28"/>
          <w:szCs w:val="28"/>
        </w:rPr>
      </w:pPr>
    </w:p>
    <w:p w14:paraId="33F3D558" w14:textId="77777777" w:rsidR="00A0476E" w:rsidRDefault="00A65945">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5. Фінансово-економічне обґрунтування </w:t>
      </w:r>
    </w:p>
    <w:p w14:paraId="2C4C5ED2" w14:textId="77777777" w:rsidR="00A0476E" w:rsidRDefault="00A65945">
      <w:pPr>
        <w:tabs>
          <w:tab w:val="num" w:pos="0"/>
          <w:tab w:val="left" w:pos="108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Прийняття та реалізація </w:t>
      </w:r>
      <w:proofErr w:type="spellStart"/>
      <w:r>
        <w:rPr>
          <w:rFonts w:ascii="Times New Roman" w:hAnsi="Times New Roman"/>
          <w:sz w:val="28"/>
          <w:szCs w:val="28"/>
        </w:rPr>
        <w:t>проєкту</w:t>
      </w:r>
      <w:proofErr w:type="spellEnd"/>
      <w:r>
        <w:rPr>
          <w:rFonts w:ascii="Times New Roman" w:hAnsi="Times New Roman"/>
          <w:sz w:val="28"/>
          <w:szCs w:val="28"/>
        </w:rPr>
        <w:t xml:space="preserve"> наказу не потребують додаткових фінансових витрат із державного чи місцевих бюджетів.</w:t>
      </w:r>
    </w:p>
    <w:p w14:paraId="08DE6D91" w14:textId="77777777" w:rsidR="00A0476E" w:rsidRDefault="00A0476E">
      <w:pPr>
        <w:spacing w:after="0" w:line="240" w:lineRule="auto"/>
        <w:ind w:firstLine="567"/>
        <w:jc w:val="both"/>
        <w:rPr>
          <w:rFonts w:ascii="Times New Roman" w:hAnsi="Times New Roman"/>
          <w:sz w:val="28"/>
          <w:szCs w:val="28"/>
          <w:highlight w:val="yellow"/>
        </w:rPr>
      </w:pPr>
    </w:p>
    <w:p w14:paraId="581E0DE5" w14:textId="77777777" w:rsidR="00A0476E" w:rsidRDefault="00A65945">
      <w:pPr>
        <w:spacing w:after="0" w:line="240" w:lineRule="auto"/>
        <w:ind w:firstLine="567"/>
        <w:jc w:val="both"/>
        <w:rPr>
          <w:rFonts w:ascii="Times New Roman" w:hAnsi="Times New Roman"/>
          <w:b/>
          <w:sz w:val="28"/>
          <w:szCs w:val="28"/>
        </w:rPr>
      </w:pPr>
      <w:r>
        <w:rPr>
          <w:rFonts w:ascii="Times New Roman" w:hAnsi="Times New Roman"/>
          <w:b/>
          <w:sz w:val="28"/>
          <w:szCs w:val="28"/>
        </w:rPr>
        <w:t>6. Позиція заінтересованих сторін</w:t>
      </w:r>
    </w:p>
    <w:p w14:paraId="1407E934" w14:textId="77777777" w:rsidR="00A0476E" w:rsidRDefault="00A65945">
      <w:pPr>
        <w:tabs>
          <w:tab w:val="num" w:pos="0"/>
        </w:tabs>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Проєкт</w:t>
      </w:r>
      <w:proofErr w:type="spellEnd"/>
      <w:r>
        <w:rPr>
          <w:rFonts w:ascii="Times New Roman" w:hAnsi="Times New Roman"/>
          <w:sz w:val="28"/>
          <w:szCs w:val="28"/>
        </w:rPr>
        <w:t xml:space="preserve"> наказу не стосується питань функціонування місцевого самоврядування, прав та інтересів територіальних громад, місцевого та регіонального розвитку.</w:t>
      </w:r>
    </w:p>
    <w:p w14:paraId="0E8A2FA8" w14:textId="77777777" w:rsidR="00A0476E" w:rsidRDefault="00A65945">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Реалізація </w:t>
      </w:r>
      <w:proofErr w:type="spellStart"/>
      <w:r>
        <w:rPr>
          <w:rFonts w:ascii="Times New Roman" w:hAnsi="Times New Roman"/>
          <w:sz w:val="28"/>
          <w:szCs w:val="28"/>
        </w:rPr>
        <w:t>акта</w:t>
      </w:r>
      <w:proofErr w:type="spellEnd"/>
      <w:r>
        <w:rPr>
          <w:rFonts w:ascii="Times New Roman" w:hAnsi="Times New Roman"/>
          <w:sz w:val="28"/>
          <w:szCs w:val="28"/>
        </w:rPr>
        <w:t xml:space="preserve"> не матиме впливу на інтереси окремих верств (груп) населення, об’єднаних спільними інтересами тощо.</w:t>
      </w:r>
    </w:p>
    <w:p w14:paraId="6653099C" w14:textId="77777777" w:rsidR="00A0476E" w:rsidRDefault="00A65945">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Проєкт</w:t>
      </w:r>
      <w:proofErr w:type="spellEnd"/>
      <w:r>
        <w:rPr>
          <w:rFonts w:ascii="Times New Roman" w:hAnsi="Times New Roman"/>
          <w:sz w:val="28"/>
          <w:szCs w:val="28"/>
        </w:rPr>
        <w:t xml:space="preserve"> наказу не стосується соціально-трудової сфери, прав осіб з інвалідністю – всеукраїнських громадських організацій осіб з інвалідністю, їх спілок.</w:t>
      </w:r>
    </w:p>
    <w:p w14:paraId="4DDC43F8" w14:textId="77777777" w:rsidR="00627214" w:rsidRDefault="00A65945">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lastRenderedPageBreak/>
        <w:t>Проєкт</w:t>
      </w:r>
      <w:proofErr w:type="spellEnd"/>
      <w:r>
        <w:rPr>
          <w:rFonts w:ascii="Times New Roman" w:hAnsi="Times New Roman"/>
          <w:sz w:val="28"/>
          <w:szCs w:val="28"/>
        </w:rPr>
        <w:t xml:space="preserve"> наказу потребує погодження з Державною податковою службою України, Національним банком України, Національною комісією з цінних паперів та фондового ринку, Державною регуляторною службою України</w:t>
      </w:r>
      <w:r w:rsidR="00627214">
        <w:rPr>
          <w:rFonts w:ascii="Times New Roman" w:hAnsi="Times New Roman"/>
          <w:sz w:val="28"/>
          <w:szCs w:val="28"/>
        </w:rPr>
        <w:t>.</w:t>
      </w:r>
    </w:p>
    <w:p w14:paraId="35DEBDB1" w14:textId="250FF62E" w:rsidR="00A0476E" w:rsidRDefault="00627214">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spellStart"/>
      <w:r w:rsidR="00A65945">
        <w:rPr>
          <w:rFonts w:ascii="Times New Roman" w:hAnsi="Times New Roman"/>
          <w:sz w:val="28"/>
          <w:szCs w:val="28"/>
        </w:rPr>
        <w:t>Проєкт</w:t>
      </w:r>
      <w:proofErr w:type="spellEnd"/>
      <w:r w:rsidR="00A65945">
        <w:rPr>
          <w:rFonts w:ascii="Times New Roman" w:hAnsi="Times New Roman"/>
          <w:sz w:val="28"/>
          <w:szCs w:val="28"/>
        </w:rPr>
        <w:t xml:space="preserve"> наказу потребує проведення цифрової експертизи та отримання висновку Міністерства цифрової трансформації України про проведення цифрової експертизи.</w:t>
      </w:r>
    </w:p>
    <w:p w14:paraId="3D1FF8F5" w14:textId="77777777" w:rsidR="00A0476E" w:rsidRDefault="00A65945">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Проєкт</w:t>
      </w:r>
      <w:proofErr w:type="spellEnd"/>
      <w:r>
        <w:rPr>
          <w:rFonts w:ascii="Times New Roman" w:hAnsi="Times New Roman"/>
          <w:sz w:val="28"/>
          <w:szCs w:val="28"/>
        </w:rPr>
        <w:t xml:space="preserve"> наказу підлягає державній реєстрації в Міністерстві юстиції України.</w:t>
      </w:r>
    </w:p>
    <w:p w14:paraId="0E9E97B0" w14:textId="77777777" w:rsidR="00A0476E" w:rsidRDefault="00A0476E">
      <w:pPr>
        <w:spacing w:after="0" w:line="240" w:lineRule="auto"/>
        <w:ind w:firstLine="567"/>
        <w:jc w:val="both"/>
        <w:rPr>
          <w:rFonts w:ascii="Times New Roman" w:hAnsi="Times New Roman"/>
          <w:sz w:val="28"/>
          <w:szCs w:val="28"/>
          <w:highlight w:val="yellow"/>
        </w:rPr>
      </w:pPr>
    </w:p>
    <w:p w14:paraId="752DF5C1" w14:textId="77777777" w:rsidR="00A0476E" w:rsidRDefault="00A65945">
      <w:pPr>
        <w:spacing w:after="0" w:line="240" w:lineRule="auto"/>
        <w:ind w:firstLine="567"/>
        <w:jc w:val="both"/>
        <w:rPr>
          <w:rFonts w:ascii="Times New Roman" w:hAnsi="Times New Roman"/>
          <w:b/>
          <w:sz w:val="28"/>
          <w:szCs w:val="28"/>
        </w:rPr>
      </w:pPr>
      <w:r>
        <w:rPr>
          <w:rFonts w:ascii="Times New Roman" w:hAnsi="Times New Roman"/>
          <w:b/>
          <w:sz w:val="28"/>
          <w:szCs w:val="28"/>
        </w:rPr>
        <w:t>7. Оцінка відповідності</w:t>
      </w:r>
    </w:p>
    <w:p w14:paraId="7F39DD81" w14:textId="77777777" w:rsidR="00A0476E" w:rsidRDefault="00A65945">
      <w:pPr>
        <w:tabs>
          <w:tab w:val="left" w:pos="9540"/>
        </w:tabs>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 xml:space="preserve">У </w:t>
      </w:r>
      <w:proofErr w:type="spellStart"/>
      <w:r>
        <w:rPr>
          <w:rFonts w:ascii="Times New Roman" w:hAnsi="Times New Roman"/>
          <w:sz w:val="28"/>
          <w:szCs w:val="28"/>
          <w:lang w:eastAsia="ar-SA"/>
        </w:rPr>
        <w:t>проєкті</w:t>
      </w:r>
      <w:proofErr w:type="spellEnd"/>
      <w:r>
        <w:rPr>
          <w:rFonts w:ascii="Times New Roman" w:hAnsi="Times New Roman"/>
          <w:sz w:val="28"/>
          <w:szCs w:val="28"/>
          <w:lang w:eastAsia="ar-SA"/>
        </w:rPr>
        <w:t xml:space="preserve"> наказу відсутні положення, що:</w:t>
      </w:r>
    </w:p>
    <w:p w14:paraId="69F38962" w14:textId="77777777" w:rsidR="00A0476E" w:rsidRDefault="00A65945">
      <w:pPr>
        <w:tabs>
          <w:tab w:val="left" w:pos="9540"/>
        </w:tabs>
        <w:suppressAutoHyphens/>
        <w:spacing w:after="0" w:line="240" w:lineRule="auto"/>
        <w:ind w:firstLine="567"/>
        <w:jc w:val="both"/>
        <w:rPr>
          <w:rFonts w:ascii="Times New Roman" w:hAnsi="Times New Roman"/>
          <w:sz w:val="28"/>
          <w:szCs w:val="28"/>
          <w:lang w:val="ru-RU" w:eastAsia="ar-SA"/>
        </w:rPr>
      </w:pPr>
      <w:r>
        <w:rPr>
          <w:rFonts w:ascii="Times New Roman" w:hAnsi="Times New Roman"/>
          <w:sz w:val="28"/>
          <w:szCs w:val="28"/>
          <w:lang w:eastAsia="ar-SA"/>
        </w:rPr>
        <w:t>стосуються зобов’язань України у сфері європейської інтеграції;</w:t>
      </w:r>
    </w:p>
    <w:p w14:paraId="3EEA679E" w14:textId="77777777" w:rsidR="00A0476E" w:rsidRDefault="00A65945">
      <w:pPr>
        <w:tabs>
          <w:tab w:val="left" w:pos="9540"/>
        </w:tabs>
        <w:suppressAutoHyphens/>
        <w:spacing w:after="0" w:line="240" w:lineRule="auto"/>
        <w:ind w:firstLine="567"/>
        <w:jc w:val="both"/>
        <w:rPr>
          <w:rFonts w:ascii="Times New Roman" w:hAnsi="Times New Roman"/>
          <w:sz w:val="28"/>
          <w:szCs w:val="28"/>
          <w:lang w:val="ru-RU" w:eastAsia="ar-SA"/>
        </w:rPr>
      </w:pPr>
      <w:r>
        <w:rPr>
          <w:rFonts w:ascii="Times New Roman" w:hAnsi="Times New Roman"/>
          <w:sz w:val="28"/>
          <w:szCs w:val="28"/>
          <w:lang w:eastAsia="ar-SA"/>
        </w:rPr>
        <w:t>стосуються прав та свобод, гарантованих Конвенцією про захист прав людини і основоположних свобод;</w:t>
      </w:r>
    </w:p>
    <w:p w14:paraId="4195EB45" w14:textId="77777777" w:rsidR="00A0476E" w:rsidRDefault="00A65945">
      <w:pPr>
        <w:tabs>
          <w:tab w:val="left" w:pos="9540"/>
        </w:tabs>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впливають на забезпечення рівних прав та можливостей жінок і чоловіків;</w:t>
      </w:r>
    </w:p>
    <w:p w14:paraId="2F6F8BDC" w14:textId="77777777" w:rsidR="00A0476E" w:rsidRDefault="00A65945">
      <w:pPr>
        <w:tabs>
          <w:tab w:val="left" w:pos="9540"/>
        </w:tabs>
        <w:suppressAutoHyphens/>
        <w:spacing w:after="0" w:line="240" w:lineRule="auto"/>
        <w:ind w:firstLine="567"/>
        <w:jc w:val="both"/>
        <w:rPr>
          <w:rFonts w:ascii="Times New Roman" w:hAnsi="Times New Roman"/>
          <w:sz w:val="28"/>
          <w:szCs w:val="28"/>
          <w:lang w:val="ru-RU" w:eastAsia="ar-SA"/>
        </w:rPr>
      </w:pPr>
      <w:r>
        <w:rPr>
          <w:rFonts w:ascii="Times New Roman" w:hAnsi="Times New Roman"/>
          <w:sz w:val="28"/>
          <w:szCs w:val="28"/>
          <w:lang w:eastAsia="ar-SA"/>
        </w:rPr>
        <w:t>містять ризики вчинення корупційних правопорушень та правопорушень, пов’язаних з корупцією;</w:t>
      </w:r>
    </w:p>
    <w:p w14:paraId="65554FEF" w14:textId="77777777" w:rsidR="00A0476E" w:rsidRDefault="00A65945">
      <w:pPr>
        <w:spacing w:after="0" w:line="240" w:lineRule="auto"/>
        <w:ind w:firstLine="567"/>
        <w:jc w:val="both"/>
        <w:rPr>
          <w:rFonts w:ascii="Times New Roman" w:hAnsi="Times New Roman"/>
          <w:sz w:val="28"/>
          <w:szCs w:val="28"/>
        </w:rPr>
      </w:pPr>
      <w:r>
        <w:rPr>
          <w:rFonts w:ascii="Times New Roman" w:hAnsi="Times New Roman"/>
          <w:sz w:val="28"/>
          <w:szCs w:val="28"/>
        </w:rPr>
        <w:t>створюють підстави для дискримінації.</w:t>
      </w:r>
    </w:p>
    <w:p w14:paraId="14E87BF0" w14:textId="77777777" w:rsidR="00A0476E" w:rsidRDefault="00A0476E">
      <w:pPr>
        <w:spacing w:after="0" w:line="240" w:lineRule="auto"/>
        <w:ind w:firstLine="567"/>
        <w:jc w:val="both"/>
        <w:rPr>
          <w:rFonts w:ascii="Times New Roman" w:hAnsi="Times New Roman"/>
          <w:bCs/>
          <w:sz w:val="28"/>
          <w:szCs w:val="28"/>
          <w:lang w:val="ru-RU"/>
        </w:rPr>
      </w:pPr>
    </w:p>
    <w:p w14:paraId="35E7602F" w14:textId="77777777" w:rsidR="00A0476E" w:rsidRDefault="00A65945">
      <w:pPr>
        <w:spacing w:after="0" w:line="240" w:lineRule="auto"/>
        <w:ind w:firstLine="567"/>
        <w:jc w:val="both"/>
        <w:rPr>
          <w:rFonts w:ascii="Times New Roman" w:hAnsi="Times New Roman"/>
          <w:b/>
          <w:bCs/>
          <w:sz w:val="28"/>
          <w:szCs w:val="28"/>
        </w:rPr>
      </w:pPr>
      <w:r>
        <w:rPr>
          <w:rFonts w:ascii="Times New Roman" w:hAnsi="Times New Roman"/>
          <w:b/>
          <w:bCs/>
          <w:sz w:val="28"/>
          <w:szCs w:val="28"/>
          <w:lang w:val="ru-RU"/>
        </w:rPr>
        <w:t xml:space="preserve">8. </w:t>
      </w:r>
      <w:r>
        <w:rPr>
          <w:rFonts w:ascii="Times New Roman" w:hAnsi="Times New Roman"/>
          <w:b/>
          <w:bCs/>
          <w:sz w:val="28"/>
          <w:szCs w:val="28"/>
        </w:rPr>
        <w:t>Прогноз результатів</w:t>
      </w:r>
    </w:p>
    <w:p w14:paraId="0861B52F" w14:textId="77777777" w:rsidR="00A0476E" w:rsidRDefault="00A65945">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Проєктом</w:t>
      </w:r>
      <w:proofErr w:type="spellEnd"/>
      <w:r>
        <w:rPr>
          <w:rFonts w:ascii="Times New Roman" w:hAnsi="Times New Roman"/>
          <w:sz w:val="28"/>
          <w:szCs w:val="28"/>
        </w:rPr>
        <w:t xml:space="preserve"> наказу запроваджуються зміни, які стосуються приведення Декларації у відповідність до положень Кодексу.</w:t>
      </w:r>
    </w:p>
    <w:p w14:paraId="277071D7" w14:textId="77777777" w:rsidR="00A0476E" w:rsidRDefault="00A65945">
      <w:pPr>
        <w:spacing w:after="0" w:line="240" w:lineRule="auto"/>
        <w:ind w:firstLine="567"/>
        <w:jc w:val="both"/>
        <w:rPr>
          <w:rFonts w:ascii="Times New Roman" w:hAnsi="Times New Roman"/>
          <w:sz w:val="28"/>
          <w:szCs w:val="28"/>
          <w:lang w:val="ru-RU"/>
        </w:rPr>
      </w:pPr>
      <w:proofErr w:type="spellStart"/>
      <w:r>
        <w:rPr>
          <w:rFonts w:ascii="Times New Roman" w:hAnsi="Times New Roman"/>
          <w:sz w:val="28"/>
          <w:szCs w:val="28"/>
        </w:rPr>
        <w:t>Проєкт</w:t>
      </w:r>
      <w:proofErr w:type="spellEnd"/>
      <w:r>
        <w:rPr>
          <w:rFonts w:ascii="Times New Roman" w:hAnsi="Times New Roman"/>
          <w:sz w:val="28"/>
          <w:szCs w:val="28"/>
        </w:rPr>
        <w:t xml:space="preserve"> нормативно-правового </w:t>
      </w:r>
      <w:proofErr w:type="spellStart"/>
      <w:r>
        <w:rPr>
          <w:rFonts w:ascii="Times New Roman" w:hAnsi="Times New Roman"/>
          <w:sz w:val="28"/>
          <w:szCs w:val="28"/>
        </w:rPr>
        <w:t>акта</w:t>
      </w:r>
      <w:proofErr w:type="spellEnd"/>
      <w:r>
        <w:rPr>
          <w:rFonts w:ascii="Times New Roman" w:hAnsi="Times New Roman"/>
          <w:sz w:val="28"/>
          <w:szCs w:val="28"/>
        </w:rPr>
        <w:t xml:space="preserve"> стосується забезпечення прав та інтересів платників податку, які сплачують до бюджету податок на прибуток підприємств, а також держави щодо здійснення контролю за повнотою нарахування і своєчасністю сплати до бюджету зазначеного податку платниками податку на прибуток підприємств.</w:t>
      </w:r>
    </w:p>
    <w:p w14:paraId="1FCC0D90" w14:textId="77777777" w:rsidR="00A0476E" w:rsidRDefault="00A65945">
      <w:pPr>
        <w:tabs>
          <w:tab w:val="left" w:pos="9638"/>
        </w:tabs>
        <w:spacing w:after="0" w:line="240" w:lineRule="auto"/>
        <w:ind w:firstLine="567"/>
        <w:jc w:val="both"/>
        <w:rPr>
          <w:rFonts w:ascii="Times New Roman" w:hAnsi="Times New Roman"/>
          <w:bCs/>
          <w:iCs/>
          <w:sz w:val="28"/>
          <w:szCs w:val="28"/>
          <w:lang w:eastAsia="ar-SA"/>
        </w:rPr>
      </w:pPr>
      <w:proofErr w:type="spellStart"/>
      <w:r>
        <w:rPr>
          <w:rFonts w:ascii="Times New Roman" w:hAnsi="Times New Roman"/>
          <w:bCs/>
          <w:iCs/>
          <w:sz w:val="28"/>
          <w:szCs w:val="28"/>
          <w:lang w:eastAsia="ar-SA"/>
        </w:rPr>
        <w:t>Проєкт</w:t>
      </w:r>
      <w:proofErr w:type="spellEnd"/>
      <w:r>
        <w:rPr>
          <w:rFonts w:ascii="Times New Roman" w:hAnsi="Times New Roman"/>
          <w:bCs/>
          <w:iCs/>
          <w:sz w:val="28"/>
          <w:szCs w:val="28"/>
          <w:lang w:eastAsia="ar-SA"/>
        </w:rPr>
        <w:t xml:space="preserve"> наказу не має впливу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72311996" w14:textId="77777777" w:rsidR="00A0476E" w:rsidRDefault="00A0476E">
      <w:pPr>
        <w:widowControl w:val="0"/>
        <w:tabs>
          <w:tab w:val="num" w:pos="0"/>
        </w:tabs>
        <w:spacing w:after="0" w:line="240" w:lineRule="auto"/>
        <w:ind w:firstLine="567"/>
        <w:jc w:val="both"/>
        <w:rPr>
          <w:rFonts w:ascii="Times New Roman" w:hAnsi="Times New Roman"/>
          <w:spacing w:val="-2"/>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969"/>
        <w:gridCol w:w="2693"/>
      </w:tblGrid>
      <w:tr w:rsidR="00502B56" w14:paraId="00241AA5" w14:textId="77777777" w:rsidTr="008857ED">
        <w:tc>
          <w:tcPr>
            <w:tcW w:w="2581" w:type="dxa"/>
            <w:tcBorders>
              <w:top w:val="single" w:sz="4" w:space="0" w:color="auto"/>
              <w:left w:val="single" w:sz="4" w:space="0" w:color="auto"/>
              <w:bottom w:val="single" w:sz="4" w:space="0" w:color="auto"/>
              <w:right w:val="single" w:sz="4" w:space="0" w:color="auto"/>
            </w:tcBorders>
            <w:hideMark/>
          </w:tcPr>
          <w:p w14:paraId="60AF8C3F" w14:textId="77777777" w:rsidR="00A0476E" w:rsidRDefault="00A65945">
            <w:pPr>
              <w:widowControl w:val="0"/>
              <w:tabs>
                <w:tab w:val="num" w:pos="0"/>
              </w:tabs>
              <w:spacing w:after="0" w:line="240" w:lineRule="auto"/>
              <w:jc w:val="both"/>
              <w:rPr>
                <w:rFonts w:ascii="Times New Roman" w:hAnsi="Times New Roman"/>
                <w:spacing w:val="-2"/>
                <w:sz w:val="24"/>
                <w:szCs w:val="24"/>
                <w:lang w:eastAsia="ru-RU"/>
              </w:rPr>
            </w:pPr>
            <w:r>
              <w:rPr>
                <w:rFonts w:ascii="Times New Roman" w:hAnsi="Times New Roman"/>
                <w:spacing w:val="-2"/>
                <w:sz w:val="24"/>
                <w:szCs w:val="24"/>
                <w:lang w:eastAsia="ru-RU"/>
              </w:rPr>
              <w:t>Заінтересована сторона</w:t>
            </w:r>
          </w:p>
        </w:tc>
        <w:tc>
          <w:tcPr>
            <w:tcW w:w="3969" w:type="dxa"/>
            <w:tcBorders>
              <w:top w:val="single" w:sz="4" w:space="0" w:color="auto"/>
              <w:left w:val="single" w:sz="4" w:space="0" w:color="auto"/>
              <w:bottom w:val="single" w:sz="4" w:space="0" w:color="auto"/>
              <w:right w:val="single" w:sz="4" w:space="0" w:color="auto"/>
            </w:tcBorders>
            <w:hideMark/>
          </w:tcPr>
          <w:p w14:paraId="49A4375C" w14:textId="77777777" w:rsidR="00A0476E" w:rsidRDefault="00A65945">
            <w:pPr>
              <w:widowControl w:val="0"/>
              <w:tabs>
                <w:tab w:val="num" w:pos="0"/>
              </w:tabs>
              <w:spacing w:after="0" w:line="240" w:lineRule="auto"/>
              <w:jc w:val="both"/>
              <w:rPr>
                <w:rFonts w:ascii="Times New Roman" w:hAnsi="Times New Roman"/>
                <w:spacing w:val="-2"/>
                <w:sz w:val="24"/>
                <w:szCs w:val="24"/>
                <w:lang w:eastAsia="ru-RU"/>
              </w:rPr>
            </w:pPr>
            <w:r>
              <w:rPr>
                <w:rFonts w:ascii="Times New Roman" w:hAnsi="Times New Roman"/>
                <w:spacing w:val="-2"/>
                <w:sz w:val="24"/>
                <w:szCs w:val="24"/>
                <w:lang w:eastAsia="ru-RU"/>
              </w:rPr>
              <w:t xml:space="preserve">Вплив реалізації </w:t>
            </w:r>
            <w:proofErr w:type="spellStart"/>
            <w:r>
              <w:rPr>
                <w:rFonts w:ascii="Times New Roman" w:hAnsi="Times New Roman"/>
                <w:spacing w:val="-2"/>
                <w:sz w:val="24"/>
                <w:szCs w:val="24"/>
                <w:lang w:eastAsia="ru-RU"/>
              </w:rPr>
              <w:t>акта</w:t>
            </w:r>
            <w:proofErr w:type="spellEnd"/>
            <w:r>
              <w:rPr>
                <w:rFonts w:ascii="Times New Roman" w:hAnsi="Times New Roman"/>
                <w:spacing w:val="-2"/>
                <w:sz w:val="24"/>
                <w:szCs w:val="24"/>
                <w:lang w:eastAsia="ru-RU"/>
              </w:rPr>
              <w:t xml:space="preserve"> на заінтересовану сторону</w:t>
            </w:r>
          </w:p>
        </w:tc>
        <w:tc>
          <w:tcPr>
            <w:tcW w:w="2693" w:type="dxa"/>
            <w:tcBorders>
              <w:top w:val="single" w:sz="4" w:space="0" w:color="auto"/>
              <w:left w:val="single" w:sz="4" w:space="0" w:color="auto"/>
              <w:bottom w:val="single" w:sz="4" w:space="0" w:color="auto"/>
              <w:right w:val="single" w:sz="4" w:space="0" w:color="auto"/>
            </w:tcBorders>
            <w:hideMark/>
          </w:tcPr>
          <w:p w14:paraId="3BECA288" w14:textId="77777777" w:rsidR="00A0476E" w:rsidRDefault="00A65945">
            <w:pPr>
              <w:widowControl w:val="0"/>
              <w:tabs>
                <w:tab w:val="num" w:pos="0"/>
              </w:tabs>
              <w:spacing w:after="0" w:line="240" w:lineRule="auto"/>
              <w:jc w:val="both"/>
              <w:rPr>
                <w:rFonts w:ascii="Times New Roman" w:hAnsi="Times New Roman"/>
                <w:spacing w:val="-2"/>
                <w:sz w:val="24"/>
                <w:szCs w:val="24"/>
                <w:lang w:eastAsia="ru-RU"/>
              </w:rPr>
            </w:pPr>
            <w:r>
              <w:rPr>
                <w:rFonts w:ascii="Times New Roman" w:hAnsi="Times New Roman"/>
                <w:spacing w:val="-2"/>
                <w:sz w:val="24"/>
                <w:szCs w:val="24"/>
                <w:lang w:eastAsia="ru-RU"/>
              </w:rPr>
              <w:t>Пояснення очікуваного впливу</w:t>
            </w:r>
          </w:p>
        </w:tc>
      </w:tr>
      <w:tr w:rsidR="00502B56" w14:paraId="05F3B395" w14:textId="77777777" w:rsidTr="008857ED">
        <w:tc>
          <w:tcPr>
            <w:tcW w:w="2581" w:type="dxa"/>
            <w:tcBorders>
              <w:top w:val="single" w:sz="4" w:space="0" w:color="auto"/>
              <w:left w:val="single" w:sz="4" w:space="0" w:color="auto"/>
              <w:bottom w:val="single" w:sz="4" w:space="0" w:color="auto"/>
              <w:right w:val="single" w:sz="4" w:space="0" w:color="auto"/>
            </w:tcBorders>
            <w:hideMark/>
          </w:tcPr>
          <w:p w14:paraId="041EDA40" w14:textId="7932645A" w:rsidR="00A0476E" w:rsidRDefault="00627214">
            <w:pPr>
              <w:spacing w:after="0" w:line="240" w:lineRule="auto"/>
              <w:ind w:firstLine="22"/>
              <w:jc w:val="both"/>
              <w:rPr>
                <w:rFonts w:ascii="Times New Roman" w:hAnsi="Times New Roman"/>
                <w:iCs/>
                <w:sz w:val="24"/>
                <w:szCs w:val="24"/>
              </w:rPr>
            </w:pPr>
            <w:r>
              <w:rPr>
                <w:rFonts w:ascii="Times New Roman" w:hAnsi="Times New Roman"/>
                <w:sz w:val="24"/>
                <w:szCs w:val="24"/>
              </w:rPr>
              <w:t>Учасник індустріального парку</w:t>
            </w:r>
            <w:r w:rsidR="00A65945">
              <w:rPr>
                <w:rFonts w:ascii="Times New Roman" w:hAnsi="Times New Roman"/>
                <w:iCs/>
                <w:sz w:val="24"/>
                <w:szCs w:val="24"/>
              </w:rPr>
              <w:t>.</w:t>
            </w:r>
          </w:p>
          <w:p w14:paraId="2EA78678" w14:textId="0A9E61A4" w:rsidR="00A0476E" w:rsidRDefault="00A65945">
            <w:pPr>
              <w:widowControl w:val="0"/>
              <w:tabs>
                <w:tab w:val="num" w:pos="0"/>
              </w:tabs>
              <w:spacing w:after="0" w:line="240" w:lineRule="auto"/>
              <w:jc w:val="both"/>
              <w:rPr>
                <w:rFonts w:ascii="Times New Roman" w:hAnsi="Times New Roman"/>
                <w:spacing w:val="-2"/>
                <w:sz w:val="24"/>
                <w:szCs w:val="24"/>
                <w:lang w:eastAsia="ru-RU"/>
              </w:rPr>
            </w:pPr>
            <w:r>
              <w:rPr>
                <w:rFonts w:ascii="Times New Roman" w:hAnsi="Times New Roman"/>
                <w:spacing w:val="-2"/>
                <w:sz w:val="24"/>
                <w:szCs w:val="24"/>
                <w:lang w:eastAsia="ru-RU"/>
              </w:rPr>
              <w:t>Контролюючі органи</w:t>
            </w:r>
            <w:r w:rsidR="00816F4C">
              <w:rPr>
                <w:rFonts w:ascii="Times New Roman" w:hAnsi="Times New Roman"/>
                <w:spacing w:val="-2"/>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tcPr>
          <w:p w14:paraId="6BDE7ACD" w14:textId="77777777" w:rsidR="00A0476E" w:rsidRDefault="00A65945">
            <w:pPr>
              <w:spacing w:after="0" w:line="240" w:lineRule="auto"/>
              <w:jc w:val="both"/>
              <w:rPr>
                <w:rFonts w:ascii="Times New Roman" w:hAnsi="Times New Roman"/>
                <w:sz w:val="24"/>
                <w:szCs w:val="24"/>
              </w:rPr>
            </w:pPr>
            <w:r>
              <w:rPr>
                <w:rFonts w:ascii="Times New Roman" w:hAnsi="Times New Roman"/>
                <w:sz w:val="24"/>
                <w:szCs w:val="24"/>
              </w:rPr>
              <w:t>Позитивний, забезпечить можливість:</w:t>
            </w:r>
          </w:p>
          <w:p w14:paraId="5119EFE3" w14:textId="554DDB01" w:rsidR="00816F4C" w:rsidRPr="00816F4C" w:rsidRDefault="00661946" w:rsidP="00816F4C">
            <w:pPr>
              <w:spacing w:after="0" w:line="240" w:lineRule="auto"/>
              <w:jc w:val="both"/>
              <w:rPr>
                <w:rFonts w:ascii="Times New Roman" w:hAnsi="Times New Roman"/>
                <w:color w:val="000000"/>
                <w:sz w:val="24"/>
                <w:szCs w:val="24"/>
              </w:rPr>
            </w:pPr>
            <w:r>
              <w:rPr>
                <w:rFonts w:ascii="Times New Roman" w:hAnsi="Times New Roman"/>
                <w:sz w:val="24"/>
                <w:szCs w:val="24"/>
              </w:rPr>
              <w:t xml:space="preserve"> - </w:t>
            </w:r>
            <w:r w:rsidR="00A65945">
              <w:rPr>
                <w:rFonts w:ascii="Times New Roman" w:hAnsi="Times New Roman"/>
                <w:sz w:val="24"/>
                <w:szCs w:val="24"/>
              </w:rPr>
              <w:t xml:space="preserve">застосування особливостей оподаткування </w:t>
            </w:r>
            <w:r w:rsidR="00C07E19">
              <w:rPr>
                <w:rFonts w:ascii="Times New Roman" w:hAnsi="Times New Roman"/>
                <w:sz w:val="24"/>
                <w:szCs w:val="24"/>
              </w:rPr>
              <w:t>прибутку для учасника індустріального парку</w:t>
            </w:r>
            <w:r w:rsidR="00446047">
              <w:rPr>
                <w:rFonts w:ascii="Times New Roman" w:hAnsi="Times New Roman"/>
                <w:sz w:val="24"/>
                <w:szCs w:val="24"/>
              </w:rPr>
              <w:t>;</w:t>
            </w:r>
            <w:r w:rsidR="00C07E19">
              <w:rPr>
                <w:rFonts w:ascii="Times New Roman" w:hAnsi="Times New Roman"/>
                <w:sz w:val="24"/>
                <w:szCs w:val="24"/>
              </w:rPr>
              <w:t xml:space="preserve"> </w:t>
            </w:r>
          </w:p>
          <w:p w14:paraId="0E0F4ED3" w14:textId="3BFEC278" w:rsidR="00070854" w:rsidRDefault="00502B56" w:rsidP="001561F9">
            <w:pPr>
              <w:spacing w:after="0" w:line="240" w:lineRule="auto"/>
              <w:jc w:val="both"/>
              <w:rPr>
                <w:rFonts w:ascii="Times New Roman" w:hAnsi="Times New Roman"/>
                <w:sz w:val="24"/>
                <w:szCs w:val="24"/>
              </w:rPr>
            </w:pPr>
            <w:r w:rsidRPr="00816F4C">
              <w:rPr>
                <w:rFonts w:ascii="Times New Roman" w:hAnsi="Times New Roman"/>
                <w:sz w:val="24"/>
                <w:szCs w:val="24"/>
              </w:rPr>
              <w:t xml:space="preserve">визначення </w:t>
            </w:r>
            <w:r w:rsidR="001561F9">
              <w:rPr>
                <w:rFonts w:ascii="Times New Roman" w:hAnsi="Times New Roman"/>
                <w:sz w:val="24"/>
                <w:szCs w:val="24"/>
              </w:rPr>
              <w:t xml:space="preserve">об’єкту оподаткування податком на прибуток підприємств для платників податку -учасників індустріального парку, які здійснюють в рамках господарської діяльності, контрольовані операції на рівні: </w:t>
            </w:r>
          </w:p>
          <w:p w14:paraId="49F3CF74" w14:textId="77777777" w:rsidR="00070854" w:rsidRDefault="00070854" w:rsidP="009F7726">
            <w:pPr>
              <w:spacing w:after="0" w:line="240" w:lineRule="auto"/>
              <w:jc w:val="both"/>
              <w:rPr>
                <w:rFonts w:ascii="Times New Roman" w:hAnsi="Times New Roman"/>
                <w:sz w:val="24"/>
                <w:szCs w:val="24"/>
              </w:rPr>
            </w:pPr>
            <w:r>
              <w:rPr>
                <w:rFonts w:ascii="Times New Roman" w:hAnsi="Times New Roman"/>
                <w:sz w:val="24"/>
                <w:szCs w:val="24"/>
              </w:rPr>
              <w:t>-</w:t>
            </w:r>
            <w:r w:rsidR="00816F4C">
              <w:rPr>
                <w:rFonts w:ascii="Times New Roman" w:hAnsi="Times New Roman"/>
                <w:sz w:val="24"/>
                <w:szCs w:val="24"/>
              </w:rPr>
              <w:t xml:space="preserve"> </w:t>
            </w:r>
            <w:r w:rsidR="00816F4C" w:rsidRPr="00816F4C">
              <w:rPr>
                <w:rFonts w:ascii="Times New Roman" w:hAnsi="Times New Roman"/>
                <w:iCs/>
                <w:sz w:val="24"/>
                <w:szCs w:val="24"/>
              </w:rPr>
              <w:t>с</w:t>
            </w:r>
            <w:r w:rsidR="00816F4C" w:rsidRPr="00816F4C">
              <w:rPr>
                <w:rFonts w:ascii="Times New Roman" w:hAnsi="Times New Roman"/>
                <w:sz w:val="24"/>
                <w:szCs w:val="24"/>
              </w:rPr>
              <w:t>ум перевищення ціни, визначеної за принципом «витягнутої руки», над договірною (контрактною) вартістю реалізованих товарів (робіт, послуг) при здійсненні контрольованих операцій платником податку</w:t>
            </w:r>
            <w:r>
              <w:rPr>
                <w:rFonts w:ascii="Times New Roman" w:hAnsi="Times New Roman"/>
                <w:sz w:val="24"/>
                <w:szCs w:val="24"/>
              </w:rPr>
              <w:t>;</w:t>
            </w:r>
          </w:p>
          <w:p w14:paraId="15E837BB" w14:textId="75A76267" w:rsidR="00A0476E" w:rsidRDefault="00070854" w:rsidP="009F7726">
            <w:pPr>
              <w:spacing w:after="0" w:line="240" w:lineRule="auto"/>
              <w:jc w:val="both"/>
              <w:rPr>
                <w:rFonts w:ascii="Times New Roman" w:hAnsi="Times New Roman"/>
                <w:sz w:val="24"/>
                <w:szCs w:val="24"/>
              </w:rPr>
            </w:pPr>
            <w:r>
              <w:rPr>
                <w:rFonts w:ascii="Times New Roman" w:hAnsi="Times New Roman"/>
                <w:sz w:val="24"/>
                <w:szCs w:val="24"/>
              </w:rPr>
              <w:t xml:space="preserve">- </w:t>
            </w:r>
            <w:r w:rsidR="00816F4C" w:rsidRPr="00816F4C">
              <w:rPr>
                <w:rFonts w:ascii="Times New Roman" w:hAnsi="Times New Roman"/>
                <w:sz w:val="24"/>
                <w:szCs w:val="24"/>
              </w:rPr>
              <w:t>сум перевищення договірної (контрактної) вартості придбаних товарів (робіт, послуг) над ціною, визначеною за принципом «витягнутої руки» при здійсненні контрольованих операцій платником податку.</w:t>
            </w:r>
          </w:p>
        </w:tc>
        <w:tc>
          <w:tcPr>
            <w:tcW w:w="2693" w:type="dxa"/>
            <w:tcBorders>
              <w:top w:val="single" w:sz="4" w:space="0" w:color="auto"/>
              <w:left w:val="single" w:sz="4" w:space="0" w:color="auto"/>
              <w:bottom w:val="single" w:sz="4" w:space="0" w:color="auto"/>
              <w:right w:val="single" w:sz="4" w:space="0" w:color="auto"/>
            </w:tcBorders>
            <w:hideMark/>
          </w:tcPr>
          <w:p w14:paraId="1E8A0734" w14:textId="77777777" w:rsidR="00816F4C" w:rsidRDefault="00A65945">
            <w:pPr>
              <w:spacing w:after="0" w:line="240" w:lineRule="auto"/>
              <w:jc w:val="both"/>
              <w:rPr>
                <w:rFonts w:ascii="Times New Roman" w:hAnsi="Times New Roman"/>
                <w:sz w:val="24"/>
                <w:szCs w:val="24"/>
              </w:rPr>
            </w:pPr>
            <w:r>
              <w:rPr>
                <w:rFonts w:ascii="Times New Roman" w:hAnsi="Times New Roman"/>
                <w:sz w:val="24"/>
                <w:szCs w:val="24"/>
              </w:rPr>
              <w:t xml:space="preserve">Прийняття наказу дасть можливість використовувати </w:t>
            </w:r>
            <w:r w:rsidR="00816F4C">
              <w:rPr>
                <w:rFonts w:ascii="Times New Roman" w:hAnsi="Times New Roman"/>
                <w:sz w:val="24"/>
                <w:szCs w:val="24"/>
              </w:rPr>
              <w:t>особливості оподаткування учасниками індустріального парку.</w:t>
            </w:r>
          </w:p>
          <w:p w14:paraId="08AECD97" w14:textId="1BA7D4D3" w:rsidR="00A0476E" w:rsidRDefault="00816F4C">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3511C65D" w14:textId="77777777" w:rsidR="00A0476E" w:rsidRDefault="00A0476E">
            <w:pPr>
              <w:spacing w:after="0" w:line="240" w:lineRule="auto"/>
              <w:jc w:val="both"/>
              <w:rPr>
                <w:rFonts w:ascii="Times New Roman" w:hAnsi="Times New Roman"/>
                <w:sz w:val="24"/>
                <w:szCs w:val="24"/>
                <w:lang w:val="ru-RU"/>
              </w:rPr>
            </w:pPr>
          </w:p>
        </w:tc>
      </w:tr>
    </w:tbl>
    <w:p w14:paraId="713D0DC7" w14:textId="77777777" w:rsidR="00A0476E" w:rsidRDefault="00A0476E">
      <w:pPr>
        <w:spacing w:after="0" w:line="240" w:lineRule="auto"/>
        <w:ind w:firstLine="567"/>
        <w:jc w:val="both"/>
        <w:rPr>
          <w:rFonts w:ascii="Times New Roman" w:hAnsi="Times New Roman"/>
          <w:b/>
          <w:sz w:val="28"/>
          <w:szCs w:val="28"/>
        </w:rPr>
      </w:pPr>
    </w:p>
    <w:p w14:paraId="4E468367" w14:textId="461FE447" w:rsidR="00A0476E" w:rsidRDefault="00A0476E">
      <w:pPr>
        <w:spacing w:after="0" w:line="240" w:lineRule="auto"/>
        <w:ind w:firstLine="567"/>
        <w:jc w:val="both"/>
        <w:rPr>
          <w:rFonts w:ascii="Times New Roman" w:hAnsi="Times New Roman"/>
          <w:b/>
          <w:sz w:val="28"/>
          <w:szCs w:val="28"/>
        </w:rPr>
      </w:pPr>
    </w:p>
    <w:p w14:paraId="50855767" w14:textId="77777777" w:rsidR="008857ED" w:rsidRDefault="008857ED">
      <w:pPr>
        <w:spacing w:after="0" w:line="240" w:lineRule="auto"/>
        <w:ind w:firstLine="567"/>
        <w:jc w:val="both"/>
        <w:rPr>
          <w:rFonts w:ascii="Times New Roman" w:hAnsi="Times New Roman"/>
          <w:b/>
          <w:sz w:val="28"/>
          <w:szCs w:val="28"/>
        </w:rPr>
      </w:pPr>
      <w:bookmarkStart w:id="2" w:name="_GoBack"/>
      <w:bookmarkEnd w:id="2"/>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29"/>
      </w:tblGrid>
      <w:tr w:rsidR="00A0476E" w14:paraId="724AC112" w14:textId="77777777">
        <w:tc>
          <w:tcPr>
            <w:tcW w:w="4927" w:type="dxa"/>
          </w:tcPr>
          <w:p w14:paraId="022BE6DB" w14:textId="77777777" w:rsidR="00A0476E" w:rsidRDefault="00A65945">
            <w:pPr>
              <w:spacing w:after="0" w:line="240" w:lineRule="auto"/>
              <w:jc w:val="both"/>
              <w:rPr>
                <w:rFonts w:ascii="Times New Roman" w:hAnsi="Times New Roman"/>
                <w:b/>
                <w:sz w:val="28"/>
                <w:szCs w:val="28"/>
                <w:highlight w:val="yellow"/>
              </w:rPr>
            </w:pPr>
            <w:r>
              <w:rPr>
                <w:rFonts w:ascii="Times New Roman" w:hAnsi="Times New Roman"/>
                <w:b/>
                <w:sz w:val="28"/>
                <w:szCs w:val="28"/>
              </w:rPr>
              <w:t>Міністр фінансів України</w:t>
            </w:r>
          </w:p>
        </w:tc>
        <w:tc>
          <w:tcPr>
            <w:tcW w:w="4928" w:type="dxa"/>
          </w:tcPr>
          <w:p w14:paraId="69440A44" w14:textId="77777777" w:rsidR="00A0476E" w:rsidRDefault="00A65945">
            <w:pPr>
              <w:spacing w:after="0" w:line="240" w:lineRule="auto"/>
              <w:jc w:val="right"/>
              <w:rPr>
                <w:rFonts w:ascii="Times New Roman" w:hAnsi="Times New Roman"/>
                <w:b/>
                <w:sz w:val="28"/>
                <w:szCs w:val="28"/>
                <w:highlight w:val="yellow"/>
              </w:rPr>
            </w:pPr>
            <w:r>
              <w:rPr>
                <w:rFonts w:ascii="Times New Roman" w:hAnsi="Times New Roman"/>
                <w:b/>
                <w:sz w:val="28"/>
                <w:szCs w:val="28"/>
              </w:rPr>
              <w:t>Сергій МАРЧЕНКО</w:t>
            </w:r>
          </w:p>
        </w:tc>
      </w:tr>
    </w:tbl>
    <w:p w14:paraId="38DDD5BD" w14:textId="77777777" w:rsidR="00A0476E" w:rsidRDefault="00A0476E">
      <w:pPr>
        <w:spacing w:after="0" w:line="240" w:lineRule="auto"/>
        <w:jc w:val="both"/>
        <w:rPr>
          <w:rFonts w:ascii="Times New Roman" w:hAnsi="Times New Roman"/>
          <w:sz w:val="28"/>
          <w:szCs w:val="28"/>
        </w:rPr>
      </w:pPr>
    </w:p>
    <w:p w14:paraId="315D736D" w14:textId="77777777" w:rsidR="00A0476E" w:rsidRDefault="00A0476E">
      <w:pPr>
        <w:spacing w:after="0" w:line="240" w:lineRule="auto"/>
        <w:jc w:val="both"/>
        <w:rPr>
          <w:rFonts w:ascii="Times New Roman" w:hAnsi="Times New Roman"/>
          <w:sz w:val="28"/>
          <w:szCs w:val="28"/>
        </w:rPr>
      </w:pPr>
    </w:p>
    <w:p w14:paraId="6921E62D" w14:textId="77777777" w:rsidR="00A0476E" w:rsidRDefault="00A65945">
      <w:pPr>
        <w:spacing w:after="0" w:line="240" w:lineRule="auto"/>
        <w:jc w:val="both"/>
      </w:pPr>
      <w:r>
        <w:rPr>
          <w:rFonts w:ascii="Times New Roman" w:hAnsi="Times New Roman"/>
          <w:sz w:val="28"/>
          <w:szCs w:val="28"/>
        </w:rPr>
        <w:t>____ ___________ 20__ року</w:t>
      </w:r>
    </w:p>
    <w:sectPr w:rsidR="00A0476E">
      <w:headerReference w:type="default" r:id="rId8"/>
      <w:pgSz w:w="11906" w:h="16838"/>
      <w:pgMar w:top="1134" w:right="567"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92F2F" w14:textId="77777777" w:rsidR="00A65945" w:rsidRDefault="00A65945">
      <w:pPr>
        <w:spacing w:after="0" w:line="240" w:lineRule="auto"/>
      </w:pPr>
    </w:p>
  </w:endnote>
  <w:endnote w:type="continuationSeparator" w:id="0">
    <w:p w14:paraId="3CE6DBC2" w14:textId="77777777" w:rsidR="00A65945" w:rsidRDefault="00A65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C57CE" w14:textId="77777777" w:rsidR="00A65945" w:rsidRDefault="00A65945">
      <w:pPr>
        <w:spacing w:after="0" w:line="240" w:lineRule="auto"/>
      </w:pPr>
    </w:p>
  </w:footnote>
  <w:footnote w:type="continuationSeparator" w:id="0">
    <w:p w14:paraId="497DD94F" w14:textId="77777777" w:rsidR="00A65945" w:rsidRDefault="00A659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64CF" w14:textId="77777777" w:rsidR="00A0476E" w:rsidRDefault="00A65945">
    <w:pPr>
      <w:pStyle w:val="a3"/>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w:t>
    </w:r>
    <w:r>
      <w:rPr>
        <w:rFonts w:ascii="Times New Roman" w:hAnsi="Times New Roman"/>
      </w:rPr>
      <w:fldChar w:fldCharType="end"/>
    </w:r>
  </w:p>
  <w:p w14:paraId="5F8A2C25" w14:textId="77777777" w:rsidR="00A0476E" w:rsidRDefault="00A047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32CC"/>
    <w:multiLevelType w:val="hybridMultilevel"/>
    <w:tmpl w:val="03BC89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76E"/>
    <w:rsid w:val="00070854"/>
    <w:rsid w:val="00077CCD"/>
    <w:rsid w:val="000A7ED3"/>
    <w:rsid w:val="000B4F14"/>
    <w:rsid w:val="001534ED"/>
    <w:rsid w:val="001561F9"/>
    <w:rsid w:val="0024576E"/>
    <w:rsid w:val="00334C99"/>
    <w:rsid w:val="003E6F5B"/>
    <w:rsid w:val="003F6367"/>
    <w:rsid w:val="00446047"/>
    <w:rsid w:val="004631E1"/>
    <w:rsid w:val="00470EE3"/>
    <w:rsid w:val="004C585C"/>
    <w:rsid w:val="004E4BAE"/>
    <w:rsid w:val="00502B56"/>
    <w:rsid w:val="00531C7C"/>
    <w:rsid w:val="00577941"/>
    <w:rsid w:val="005D6B91"/>
    <w:rsid w:val="005E7B62"/>
    <w:rsid w:val="00624072"/>
    <w:rsid w:val="00627214"/>
    <w:rsid w:val="00661946"/>
    <w:rsid w:val="0076617E"/>
    <w:rsid w:val="007E7FDC"/>
    <w:rsid w:val="00816F4C"/>
    <w:rsid w:val="008509F5"/>
    <w:rsid w:val="008650D6"/>
    <w:rsid w:val="008857ED"/>
    <w:rsid w:val="008C449E"/>
    <w:rsid w:val="009561DF"/>
    <w:rsid w:val="009B411D"/>
    <w:rsid w:val="009F7726"/>
    <w:rsid w:val="00A0476E"/>
    <w:rsid w:val="00A65945"/>
    <w:rsid w:val="00AB63E0"/>
    <w:rsid w:val="00AF5413"/>
    <w:rsid w:val="00B31975"/>
    <w:rsid w:val="00B51C5C"/>
    <w:rsid w:val="00B709A7"/>
    <w:rsid w:val="00C07E19"/>
    <w:rsid w:val="00DF1D63"/>
    <w:rsid w:val="00DF5BAC"/>
    <w:rsid w:val="00E00E59"/>
    <w:rsid w:val="00EE7E68"/>
    <w:rsid w:val="00F00B11"/>
    <w:rsid w:val="00F16B38"/>
    <w:rsid w:val="00F72F3D"/>
    <w:rsid w:val="00FE1D4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99EA"/>
  <w15:docId w15:val="{13DC207C-6260-CA4F-B27B-1F3795A2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spacing w:after="120" w:line="480" w:lineRule="auto"/>
    </w:pPr>
    <w:rPr>
      <w:rFonts w:ascii="Times New Roman" w:hAnsi="Times New Roman"/>
      <w:sz w:val="28"/>
      <w:szCs w:val="24"/>
      <w:lang w:eastAsia="ru-RU"/>
    </w:rPr>
  </w:style>
  <w:style w:type="paragraph" w:styleId="a3">
    <w:name w:val="header"/>
    <w:basedOn w:val="a"/>
    <w:link w:val="a4"/>
    <w:pPr>
      <w:tabs>
        <w:tab w:val="center" w:pos="4819"/>
        <w:tab w:val="right" w:pos="9639"/>
      </w:tabs>
      <w:spacing w:after="0" w:line="240" w:lineRule="auto"/>
    </w:pPr>
  </w:style>
  <w:style w:type="paragraph" w:styleId="a5">
    <w:name w:val="footer"/>
    <w:basedOn w:val="a"/>
    <w:link w:val="a6"/>
    <w:pPr>
      <w:tabs>
        <w:tab w:val="center" w:pos="4819"/>
        <w:tab w:val="right" w:pos="9639"/>
      </w:tabs>
      <w:spacing w:after="0" w:line="240" w:lineRule="auto"/>
    </w:pPr>
  </w:style>
  <w:style w:type="paragraph" w:styleId="a7">
    <w:name w:val="Balloon Text"/>
    <w:basedOn w:val="a"/>
    <w:link w:val="a8"/>
    <w:semiHidden/>
    <w:pPr>
      <w:spacing w:after="0" w:line="240" w:lineRule="auto"/>
    </w:pPr>
    <w:rPr>
      <w:rFonts w:ascii="Segoe UI" w:hAnsi="Segoe UI"/>
      <w:sz w:val="18"/>
      <w:szCs w:val="18"/>
    </w:rPr>
  </w:style>
  <w:style w:type="paragraph" w:styleId="a9">
    <w:name w:val="List Paragraph"/>
    <w:basedOn w:val="a"/>
    <w:qFormat/>
    <w:pPr>
      <w:ind w:left="720"/>
      <w:contextualSpacing/>
    </w:pPr>
  </w:style>
  <w:style w:type="paragraph" w:styleId="aa">
    <w:name w:val="annotation text"/>
    <w:basedOn w:val="a"/>
    <w:link w:val="ab"/>
    <w:semiHidden/>
    <w:pPr>
      <w:spacing w:line="240" w:lineRule="auto"/>
    </w:pPr>
    <w:rPr>
      <w:sz w:val="20"/>
      <w:szCs w:val="20"/>
    </w:rPr>
  </w:style>
  <w:style w:type="paragraph" w:styleId="ac">
    <w:name w:val="annotation subject"/>
    <w:basedOn w:val="aa"/>
    <w:next w:val="aa"/>
    <w:link w:val="ad"/>
    <w:semiHidden/>
    <w:rPr>
      <w:b/>
      <w:bCs/>
    </w:rPr>
  </w:style>
  <w:style w:type="paragraph" w:styleId="ae">
    <w:name w:val="Revision"/>
    <w:hidden/>
    <w:semiHidden/>
    <w:pPr>
      <w:spacing w:after="0" w:line="240" w:lineRule="auto"/>
    </w:pPr>
  </w:style>
  <w:style w:type="paragraph" w:styleId="af">
    <w:name w:val="Normal (Web)"/>
    <w:basedOn w:val="a"/>
    <w:semiHidden/>
    <w:pPr>
      <w:spacing w:before="100" w:beforeAutospacing="1" w:after="100" w:afterAutospacing="1" w:line="240" w:lineRule="auto"/>
    </w:pPr>
    <w:rPr>
      <w:rFonts w:ascii="Times New Roman" w:hAnsi="Times New Roman"/>
      <w:sz w:val="24"/>
      <w:szCs w:val="24"/>
      <w:lang w:eastAsia="ru-RU"/>
    </w:rPr>
  </w:style>
  <w:style w:type="paragraph" w:styleId="af0">
    <w:name w:val="footnote text"/>
    <w:link w:val="af1"/>
    <w:semiHidden/>
    <w:pPr>
      <w:spacing w:after="0" w:line="240" w:lineRule="auto"/>
    </w:pPr>
    <w:rPr>
      <w:sz w:val="20"/>
      <w:szCs w:val="20"/>
    </w:rPr>
  </w:style>
  <w:style w:type="paragraph" w:styleId="af2">
    <w:name w:val="endnote text"/>
    <w:link w:val="af3"/>
    <w:semiHidden/>
    <w:pPr>
      <w:spacing w:after="0" w:line="240" w:lineRule="auto"/>
    </w:pPr>
    <w:rPr>
      <w:sz w:val="20"/>
      <w:szCs w:val="20"/>
    </w:rPr>
  </w:style>
  <w:style w:type="character" w:styleId="af4">
    <w:name w:val="line number"/>
    <w:basedOn w:val="a0"/>
    <w:semiHidden/>
  </w:style>
  <w:style w:type="character" w:styleId="af5">
    <w:name w:val="Hyperlink"/>
    <w:rPr>
      <w:color w:val="0000FF"/>
      <w:u w:val="single"/>
    </w:rPr>
  </w:style>
  <w:style w:type="character" w:customStyle="1" w:styleId="20">
    <w:name w:val="Основний текст 2 Знак"/>
    <w:basedOn w:val="a0"/>
    <w:link w:val="2"/>
    <w:rPr>
      <w:rFonts w:ascii="Times New Roman" w:hAnsi="Times New Roman"/>
      <w:sz w:val="28"/>
      <w:szCs w:val="24"/>
      <w:lang w:eastAsia="ru-RU"/>
    </w:rPr>
  </w:style>
  <w:style w:type="character" w:customStyle="1" w:styleId="21">
    <w:name w:val="Основний текст 2 Знак1"/>
    <w:basedOn w:val="a0"/>
    <w:semiHidden/>
  </w:style>
  <w:style w:type="character" w:customStyle="1" w:styleId="a4">
    <w:name w:val="Верхній колонтитул Знак"/>
    <w:basedOn w:val="a0"/>
    <w:link w:val="a3"/>
  </w:style>
  <w:style w:type="character" w:customStyle="1" w:styleId="a6">
    <w:name w:val="Нижній колонтитул Знак"/>
    <w:basedOn w:val="a0"/>
    <w:link w:val="a5"/>
  </w:style>
  <w:style w:type="character" w:customStyle="1" w:styleId="a8">
    <w:name w:val="Текст у виносці Знак"/>
    <w:basedOn w:val="a0"/>
    <w:link w:val="a7"/>
    <w:semiHidden/>
    <w:rPr>
      <w:rFonts w:ascii="Segoe UI" w:hAnsi="Segoe UI"/>
      <w:sz w:val="18"/>
      <w:szCs w:val="18"/>
    </w:rPr>
  </w:style>
  <w:style w:type="character" w:styleId="af6">
    <w:name w:val="annotation reference"/>
    <w:basedOn w:val="a0"/>
    <w:semiHidden/>
    <w:rPr>
      <w:sz w:val="16"/>
      <w:szCs w:val="16"/>
    </w:rPr>
  </w:style>
  <w:style w:type="character" w:customStyle="1" w:styleId="ab">
    <w:name w:val="Текст примітки Знак"/>
    <w:basedOn w:val="a0"/>
    <w:link w:val="aa"/>
    <w:semiHidden/>
    <w:rPr>
      <w:sz w:val="20"/>
      <w:szCs w:val="20"/>
    </w:rPr>
  </w:style>
  <w:style w:type="character" w:customStyle="1" w:styleId="ad">
    <w:name w:val="Тема примітки Знак"/>
    <w:basedOn w:val="ab"/>
    <w:link w:val="ac"/>
    <w:semiHidden/>
    <w:rPr>
      <w:b/>
      <w:bCs/>
      <w:sz w:val="20"/>
      <w:szCs w:val="20"/>
    </w:rPr>
  </w:style>
  <w:style w:type="character" w:styleId="af7">
    <w:name w:val="footnote reference"/>
    <w:semiHidden/>
    <w:rPr>
      <w:vertAlign w:val="superscript"/>
    </w:rPr>
  </w:style>
  <w:style w:type="character" w:customStyle="1" w:styleId="af1">
    <w:name w:val="Текст виноски Знак"/>
    <w:link w:val="af0"/>
    <w:semiHidden/>
    <w:rPr>
      <w:sz w:val="20"/>
      <w:szCs w:val="20"/>
    </w:rPr>
  </w:style>
  <w:style w:type="character" w:styleId="af8">
    <w:name w:val="endnote reference"/>
    <w:semiHidden/>
    <w:rPr>
      <w:vertAlign w:val="superscript"/>
    </w:rPr>
  </w:style>
  <w:style w:type="character" w:customStyle="1" w:styleId="af3">
    <w:name w:val="Текст кінцевої виноски Знак"/>
    <w:link w:val="af2"/>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ECFE-D6C6-496E-B35E-A773724A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5042</Words>
  <Characters>2874</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ЧЕРНИШ ТЕТЯНА МИКОЛАЇВНА</dc:creator>
  <cp:lastModifiedBy>ЧЕРНИШ ТЕТЯНА МИКОЛАЇВНА</cp:lastModifiedBy>
  <cp:revision>39</cp:revision>
  <cp:lastPrinted>2022-05-10T06:24:00Z</cp:lastPrinted>
  <dcterms:created xsi:type="dcterms:W3CDTF">2022-06-24T17:32:00Z</dcterms:created>
  <dcterms:modified xsi:type="dcterms:W3CDTF">2022-08-10T12:30:00Z</dcterms:modified>
</cp:coreProperties>
</file>