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5F" w:rsidRPr="00035468" w:rsidRDefault="00ED7E5F" w:rsidP="00ED7E5F">
      <w:pPr>
        <w:widowControl w:val="0"/>
        <w:ind w:right="-2"/>
        <w:jc w:val="center"/>
        <w:rPr>
          <w:b/>
          <w:bCs/>
          <w:sz w:val="28"/>
          <w:szCs w:val="28"/>
          <w:lang w:val="uk-UA"/>
        </w:rPr>
      </w:pPr>
      <w:r w:rsidRPr="00035468">
        <w:rPr>
          <w:b/>
          <w:bCs/>
          <w:sz w:val="28"/>
          <w:szCs w:val="28"/>
          <w:lang w:val="uk-UA"/>
        </w:rPr>
        <w:t xml:space="preserve">ПОЯСНЮВАЛЬНА ЗАПИСКА </w:t>
      </w:r>
    </w:p>
    <w:p w:rsidR="00ED7E5F" w:rsidRPr="00035468" w:rsidRDefault="00ED7E5F" w:rsidP="00ED7E5F">
      <w:pPr>
        <w:widowControl w:val="0"/>
        <w:ind w:right="-2"/>
        <w:jc w:val="center"/>
        <w:rPr>
          <w:b/>
          <w:bCs/>
          <w:sz w:val="28"/>
          <w:szCs w:val="28"/>
          <w:lang w:val="uk-UA"/>
        </w:rPr>
      </w:pPr>
      <w:r w:rsidRPr="00035468">
        <w:rPr>
          <w:b/>
          <w:bCs/>
          <w:sz w:val="28"/>
          <w:szCs w:val="28"/>
          <w:lang w:val="uk-UA"/>
        </w:rPr>
        <w:t xml:space="preserve">до проєкту наказу Міністерства фінансів України </w:t>
      </w:r>
    </w:p>
    <w:p w:rsidR="00ED7E5F" w:rsidRPr="00035468" w:rsidRDefault="00ED7E5F" w:rsidP="00ED7E5F">
      <w:pPr>
        <w:widowControl w:val="0"/>
        <w:ind w:right="-2"/>
        <w:jc w:val="center"/>
        <w:rPr>
          <w:b/>
          <w:bCs/>
          <w:sz w:val="28"/>
          <w:szCs w:val="28"/>
          <w:lang w:val="uk-UA"/>
        </w:rPr>
      </w:pPr>
      <w:r w:rsidRPr="00035468">
        <w:rPr>
          <w:b/>
          <w:bCs/>
          <w:sz w:val="28"/>
          <w:szCs w:val="28"/>
          <w:lang w:val="uk-UA"/>
        </w:rPr>
        <w:t xml:space="preserve">«Про внесення змін до наказу Міністерства фінансів України </w:t>
      </w:r>
    </w:p>
    <w:p w:rsidR="00ED7E5F" w:rsidRPr="00035468" w:rsidRDefault="00ED7E5F" w:rsidP="00ED7E5F">
      <w:pPr>
        <w:widowControl w:val="0"/>
        <w:ind w:right="-2"/>
        <w:jc w:val="center"/>
        <w:rPr>
          <w:b/>
          <w:bCs/>
          <w:sz w:val="28"/>
          <w:szCs w:val="28"/>
          <w:lang w:val="ru-RU"/>
        </w:rPr>
      </w:pPr>
      <w:r w:rsidRPr="00035468">
        <w:rPr>
          <w:b/>
          <w:bCs/>
          <w:sz w:val="28"/>
          <w:szCs w:val="28"/>
          <w:lang w:val="uk-UA"/>
        </w:rPr>
        <w:t>від 14 листопада 2014 року № 1130»</w:t>
      </w:r>
    </w:p>
    <w:p w:rsidR="00ED7E5F" w:rsidRPr="00035468" w:rsidRDefault="00ED7E5F" w:rsidP="00ED7E5F">
      <w:pPr>
        <w:widowControl w:val="0"/>
        <w:ind w:right="-2"/>
        <w:jc w:val="center"/>
        <w:rPr>
          <w:b/>
          <w:bCs/>
          <w:sz w:val="28"/>
          <w:szCs w:val="28"/>
          <w:lang w:val="uk-UA"/>
        </w:rPr>
      </w:pPr>
    </w:p>
    <w:p w:rsidR="00ED7E5F" w:rsidRPr="00035468" w:rsidRDefault="00ED7E5F" w:rsidP="00ED7E5F">
      <w:pPr>
        <w:widowControl w:val="0"/>
        <w:numPr>
          <w:ilvl w:val="0"/>
          <w:numId w:val="1"/>
        </w:numPr>
        <w:tabs>
          <w:tab w:val="left" w:pos="851"/>
        </w:tabs>
        <w:ind w:left="0" w:firstLine="567"/>
        <w:jc w:val="both"/>
        <w:rPr>
          <w:b/>
          <w:bCs/>
          <w:sz w:val="28"/>
          <w:szCs w:val="28"/>
          <w:lang w:val="uk-UA"/>
        </w:rPr>
      </w:pPr>
      <w:r w:rsidRPr="00035468">
        <w:rPr>
          <w:b/>
          <w:bCs/>
          <w:sz w:val="28"/>
          <w:szCs w:val="28"/>
          <w:lang w:val="uk-UA"/>
        </w:rPr>
        <w:t xml:space="preserve">Мета </w:t>
      </w:r>
    </w:p>
    <w:p w:rsidR="00ED7E5F" w:rsidRPr="00035468" w:rsidRDefault="00ED7E5F" w:rsidP="00ED7E5F">
      <w:pPr>
        <w:widowControl w:val="0"/>
        <w:tabs>
          <w:tab w:val="left" w:pos="993"/>
        </w:tabs>
        <w:ind w:right="-2" w:firstLine="567"/>
        <w:jc w:val="both"/>
        <w:rPr>
          <w:sz w:val="28"/>
          <w:szCs w:val="28"/>
          <w:lang w:val="uk-UA"/>
        </w:rPr>
      </w:pPr>
      <w:r w:rsidRPr="00035468">
        <w:rPr>
          <w:sz w:val="28"/>
          <w:szCs w:val="28"/>
          <w:lang w:val="uk-UA"/>
        </w:rPr>
        <w:t>Основною метою проєкту наказу Міністерства фінансів України «</w:t>
      </w:r>
      <w:r w:rsidRPr="00035468">
        <w:rPr>
          <w:bCs/>
          <w:sz w:val="28"/>
          <w:szCs w:val="28"/>
          <w:lang w:val="uk-UA"/>
        </w:rPr>
        <w:t>Про внесення змін до наказу Міністерства фінансів України від 14 листопада                     2014 року № 1130</w:t>
      </w:r>
      <w:r w:rsidRPr="00035468">
        <w:rPr>
          <w:sz w:val="28"/>
          <w:szCs w:val="28"/>
          <w:lang w:val="uk-UA"/>
        </w:rPr>
        <w:t xml:space="preserve">» (далі – </w:t>
      </w:r>
      <w:r w:rsidR="00320A43" w:rsidRPr="00035468">
        <w:rPr>
          <w:sz w:val="28"/>
          <w:szCs w:val="28"/>
          <w:lang w:val="uk-UA"/>
        </w:rPr>
        <w:t>П</w:t>
      </w:r>
      <w:r w:rsidRPr="00035468">
        <w:rPr>
          <w:sz w:val="28"/>
          <w:szCs w:val="28"/>
          <w:lang w:val="uk-UA"/>
        </w:rPr>
        <w:t>роєкт</w:t>
      </w:r>
      <w:r w:rsidR="002D087E" w:rsidRPr="00035468">
        <w:rPr>
          <w:sz w:val="28"/>
          <w:szCs w:val="28"/>
          <w:lang w:val="uk-UA"/>
        </w:rPr>
        <w:t xml:space="preserve"> наказу</w:t>
      </w:r>
      <w:r w:rsidRPr="00035468">
        <w:rPr>
          <w:sz w:val="28"/>
          <w:szCs w:val="28"/>
          <w:lang w:val="uk-UA"/>
        </w:rPr>
        <w:t xml:space="preserve">) є забезпечення реалізації норм пункту 17 Закону України від 03 червня 2021 року № 1525-IX «Про внесення змін до Податкового кодексу України щодо скасування оподаткування доходів, отриманих нерезидентами у вигляді виплати за виробництво та/або розповсюдження реклами, та удосконалення порядку оподаткування податком на додану вартість операцій з постачання нерезидентами електронних послуг фізичним особам» (далі – Закон № 1525-IX). </w:t>
      </w:r>
    </w:p>
    <w:p w:rsidR="00ED7E5F" w:rsidRPr="00035468" w:rsidRDefault="00ED7E5F" w:rsidP="00ED7E5F">
      <w:pPr>
        <w:tabs>
          <w:tab w:val="left" w:pos="993"/>
        </w:tabs>
        <w:ind w:firstLine="567"/>
        <w:jc w:val="both"/>
        <w:rPr>
          <w:sz w:val="28"/>
          <w:szCs w:val="28"/>
          <w:lang w:val="uk-UA"/>
        </w:rPr>
      </w:pPr>
    </w:p>
    <w:p w:rsidR="00ED7E5F" w:rsidRPr="00035468" w:rsidRDefault="00ED7E5F" w:rsidP="00ED7E5F">
      <w:pPr>
        <w:widowControl w:val="0"/>
        <w:numPr>
          <w:ilvl w:val="0"/>
          <w:numId w:val="1"/>
        </w:numPr>
        <w:tabs>
          <w:tab w:val="left" w:pos="851"/>
        </w:tabs>
        <w:ind w:left="0" w:firstLine="567"/>
        <w:jc w:val="both"/>
        <w:rPr>
          <w:b/>
          <w:bCs/>
          <w:sz w:val="28"/>
          <w:szCs w:val="28"/>
          <w:lang w:val="uk-UA"/>
        </w:rPr>
      </w:pPr>
      <w:r w:rsidRPr="00035468">
        <w:rPr>
          <w:b/>
          <w:bCs/>
          <w:sz w:val="28"/>
          <w:szCs w:val="28"/>
          <w:lang w:val="uk-UA"/>
        </w:rPr>
        <w:t xml:space="preserve">Обґрунтування необхідності прийняття акта </w:t>
      </w:r>
    </w:p>
    <w:p w:rsidR="00ED7E5F" w:rsidRPr="00035468" w:rsidRDefault="00ED7E5F" w:rsidP="00ED7E5F">
      <w:pPr>
        <w:pStyle w:val="StyleWisnow"/>
        <w:widowControl w:val="0"/>
        <w:tabs>
          <w:tab w:val="left" w:pos="993"/>
        </w:tabs>
        <w:spacing w:line="240" w:lineRule="auto"/>
        <w:ind w:firstLine="567"/>
        <w:jc w:val="both"/>
        <w:rPr>
          <w:sz w:val="28"/>
          <w:szCs w:val="28"/>
        </w:rPr>
      </w:pPr>
      <w:r w:rsidRPr="00035468">
        <w:rPr>
          <w:sz w:val="28"/>
          <w:szCs w:val="28"/>
        </w:rPr>
        <w:t>Пунктом 17 Закону № 1525-IX доповнено розділ V Податкового кодексу України (далі – Кодекс) новою статтею 208</w:t>
      </w:r>
      <w:r w:rsidRPr="00035468">
        <w:rPr>
          <w:sz w:val="28"/>
          <w:szCs w:val="28"/>
          <w:vertAlign w:val="superscript"/>
        </w:rPr>
        <w:t>1</w:t>
      </w:r>
      <w:r w:rsidRPr="00035468">
        <w:rPr>
          <w:sz w:val="28"/>
          <w:szCs w:val="28"/>
        </w:rPr>
        <w:t xml:space="preserve"> «Оподаткування електронних послуг, що постачаються нерезидентами фізичним особам, місце постачання яких розташоване на митній території України».</w:t>
      </w:r>
    </w:p>
    <w:p w:rsidR="00ED7E5F" w:rsidRPr="00035468" w:rsidRDefault="00ED7E5F" w:rsidP="00ED7E5F">
      <w:pPr>
        <w:pStyle w:val="1"/>
        <w:widowControl w:val="0"/>
        <w:tabs>
          <w:tab w:val="left" w:pos="993"/>
        </w:tabs>
        <w:spacing w:after="0" w:line="240" w:lineRule="auto"/>
        <w:ind w:left="0" w:firstLine="567"/>
        <w:jc w:val="both"/>
        <w:rPr>
          <w:rFonts w:ascii="Times New Roman" w:hAnsi="Times New Roman"/>
          <w:sz w:val="28"/>
          <w:szCs w:val="28"/>
        </w:rPr>
      </w:pPr>
      <w:r w:rsidRPr="00035468">
        <w:rPr>
          <w:rFonts w:ascii="Times New Roman" w:hAnsi="Times New Roman"/>
          <w:sz w:val="28"/>
          <w:szCs w:val="28"/>
        </w:rPr>
        <w:t>Пунктом 208</w:t>
      </w:r>
      <w:r w:rsidRPr="00035468">
        <w:rPr>
          <w:rFonts w:ascii="Times New Roman" w:hAnsi="Times New Roman"/>
          <w:sz w:val="28"/>
          <w:szCs w:val="28"/>
          <w:vertAlign w:val="superscript"/>
        </w:rPr>
        <w:t>1</w:t>
      </w:r>
      <w:r w:rsidRPr="00035468">
        <w:rPr>
          <w:rFonts w:ascii="Times New Roman" w:hAnsi="Times New Roman"/>
          <w:sz w:val="28"/>
          <w:szCs w:val="28"/>
        </w:rPr>
        <w:t>.2 статті 208</w:t>
      </w:r>
      <w:r w:rsidRPr="00035468">
        <w:rPr>
          <w:rFonts w:ascii="Times New Roman" w:hAnsi="Times New Roman"/>
          <w:sz w:val="28"/>
          <w:szCs w:val="28"/>
          <w:vertAlign w:val="superscript"/>
        </w:rPr>
        <w:t>1</w:t>
      </w:r>
      <w:r w:rsidRPr="00035468">
        <w:rPr>
          <w:rFonts w:ascii="Times New Roman" w:hAnsi="Times New Roman"/>
          <w:sz w:val="28"/>
          <w:szCs w:val="28"/>
        </w:rPr>
        <w:t xml:space="preserve"> розділу V Кодексу встановлено, що реєстрація як платника податку на додану вартість (далі – платник ПДВ) особи-нерезидента, </w:t>
      </w:r>
      <w:r w:rsidR="008C7CC9" w:rsidRPr="00035468">
        <w:rPr>
          <w:rFonts w:ascii="Times New Roman" w:hAnsi="Times New Roman"/>
          <w:sz w:val="28"/>
          <w:szCs w:val="28"/>
        </w:rPr>
        <w:t>яка не має постійного представництва та постачає на митній території України фізичним особам, у тому числі фізичним особам</w:t>
      </w:r>
      <w:r w:rsidR="002D087E" w:rsidRPr="00035468">
        <w:rPr>
          <w:rFonts w:ascii="Times New Roman" w:hAnsi="Times New Roman"/>
          <w:sz w:val="28"/>
          <w:szCs w:val="28"/>
        </w:rPr>
        <w:t> – </w:t>
      </w:r>
      <w:r w:rsidR="008C7CC9" w:rsidRPr="00035468">
        <w:rPr>
          <w:rFonts w:ascii="Times New Roman" w:hAnsi="Times New Roman"/>
          <w:sz w:val="28"/>
          <w:szCs w:val="28"/>
        </w:rPr>
        <w:t xml:space="preserve">підприємцям, не зареєстрованим платниками податку на додану вартість, електронні послуги, </w:t>
      </w:r>
      <w:r w:rsidR="00B259C7" w:rsidRPr="00035468">
        <w:rPr>
          <w:rFonts w:ascii="Times New Roman" w:hAnsi="Times New Roman"/>
          <w:sz w:val="28"/>
          <w:szCs w:val="28"/>
        </w:rPr>
        <w:br/>
        <w:t>у тому числі</w:t>
      </w:r>
      <w:r w:rsidR="008C7CC9" w:rsidRPr="00035468">
        <w:rPr>
          <w:rFonts w:ascii="Times New Roman" w:hAnsi="Times New Roman"/>
          <w:sz w:val="28"/>
          <w:szCs w:val="28"/>
        </w:rPr>
        <w:t xml:space="preserve"> шляхом надання доступу до електронних послуг через електронний інтерфейс, надання технічних, організаційних, інформаційних та інших можливостей, які здійснюються з використанням інформаційних технологій </w:t>
      </w:r>
      <w:r w:rsidR="00B259C7" w:rsidRPr="00035468">
        <w:rPr>
          <w:rFonts w:ascii="Times New Roman" w:hAnsi="Times New Roman"/>
          <w:sz w:val="28"/>
          <w:szCs w:val="28"/>
        </w:rPr>
        <w:br/>
      </w:r>
      <w:r w:rsidR="008C7CC9" w:rsidRPr="00035468">
        <w:rPr>
          <w:rFonts w:ascii="Times New Roman" w:hAnsi="Times New Roman"/>
          <w:sz w:val="28"/>
          <w:szCs w:val="28"/>
        </w:rPr>
        <w:t xml:space="preserve">і систем, для встановлення контактів та укладення угод між продавцями і покупцями та/або постачає такі електронні послуги за посередницькими договорами від власного імені, але за дорученням надавача електронних послуг </w:t>
      </w:r>
      <w:r w:rsidRPr="00035468">
        <w:rPr>
          <w:rFonts w:ascii="Times New Roman" w:hAnsi="Times New Roman"/>
          <w:sz w:val="28"/>
          <w:szCs w:val="28"/>
        </w:rPr>
        <w:t xml:space="preserve">(далі – особа-нерезидент), здійснюється на підставі заяви про реєстрацію як платника ПДВ такої особи-нерезидента. Реєстрація як платника ПДВ особи-нерезидента відбувається в обов’язковому порядку (якщо за результатами попереднього календарного року загальна сума від здійснення нею операцій </w:t>
      </w:r>
      <w:r w:rsidR="00B259C7" w:rsidRPr="00035468">
        <w:rPr>
          <w:rFonts w:ascii="Times New Roman" w:hAnsi="Times New Roman"/>
          <w:sz w:val="28"/>
          <w:szCs w:val="28"/>
        </w:rPr>
        <w:br/>
      </w:r>
      <w:r w:rsidRPr="00035468">
        <w:rPr>
          <w:rFonts w:ascii="Times New Roman" w:hAnsi="Times New Roman"/>
          <w:sz w:val="28"/>
          <w:szCs w:val="28"/>
        </w:rPr>
        <w:t>з постачання фізичним особам електронних послуг, місце постачання яких розташоване на митній території України, сукупно перевищує суму, еквівалентну 1</w:t>
      </w:r>
      <w:r w:rsidR="00B259C7" w:rsidRPr="00035468">
        <w:rPr>
          <w:rFonts w:ascii="Times New Roman" w:hAnsi="Times New Roman"/>
          <w:sz w:val="28"/>
          <w:szCs w:val="28"/>
        </w:rPr>
        <w:t> </w:t>
      </w:r>
      <w:r w:rsidRPr="00035468">
        <w:rPr>
          <w:rFonts w:ascii="Times New Roman" w:hAnsi="Times New Roman"/>
          <w:sz w:val="28"/>
          <w:szCs w:val="28"/>
        </w:rPr>
        <w:t>000</w:t>
      </w:r>
      <w:r w:rsidR="00B259C7" w:rsidRPr="00035468">
        <w:rPr>
          <w:rFonts w:ascii="Times New Roman" w:hAnsi="Times New Roman"/>
          <w:sz w:val="28"/>
          <w:szCs w:val="28"/>
        </w:rPr>
        <w:t> </w:t>
      </w:r>
      <w:r w:rsidRPr="00035468">
        <w:rPr>
          <w:rFonts w:ascii="Times New Roman" w:hAnsi="Times New Roman"/>
          <w:sz w:val="28"/>
          <w:szCs w:val="28"/>
        </w:rPr>
        <w:t xml:space="preserve">000 гривень) або добровільно за її власним рішенням. Особа-нерезидент вважається зареєстрованою як платник ПДВ з дати внесення запису до реєстру платників ПДВ у разі обов’язкової реєстрації особи як платника ПДВ або з першого числа звітного (податкового) періоду, наступного за днем спливу 10 календарних днів після подання до Державної податкової служби України заяви про реєстрацію як платника ПДВ, у разі добровільної реєстрації. </w:t>
      </w:r>
    </w:p>
    <w:p w:rsidR="00ED7E5F" w:rsidRPr="00035468" w:rsidRDefault="00ED7E5F" w:rsidP="00ED7E5F">
      <w:pPr>
        <w:pStyle w:val="aa"/>
        <w:tabs>
          <w:tab w:val="left" w:pos="993"/>
        </w:tabs>
        <w:spacing w:before="0" w:beforeAutospacing="0" w:after="0" w:afterAutospacing="0"/>
        <w:ind w:firstLine="567"/>
        <w:jc w:val="both"/>
        <w:rPr>
          <w:sz w:val="28"/>
          <w:szCs w:val="28"/>
          <w:lang w:val="uk-UA" w:eastAsia="en-US"/>
        </w:rPr>
      </w:pPr>
      <w:r w:rsidRPr="00035468">
        <w:rPr>
          <w:sz w:val="28"/>
          <w:szCs w:val="28"/>
          <w:lang w:val="uk-UA" w:eastAsia="en-US"/>
        </w:rPr>
        <w:lastRenderedPageBreak/>
        <w:t>Відповідно до п</w:t>
      </w:r>
      <w:r w:rsidRPr="00035468">
        <w:rPr>
          <w:sz w:val="28"/>
          <w:szCs w:val="28"/>
          <w:lang w:val="uk-UA"/>
        </w:rPr>
        <w:t>ункту 208</w:t>
      </w:r>
      <w:r w:rsidRPr="00035468">
        <w:rPr>
          <w:sz w:val="28"/>
          <w:szCs w:val="28"/>
          <w:vertAlign w:val="superscript"/>
          <w:lang w:val="uk-UA"/>
        </w:rPr>
        <w:t>1</w:t>
      </w:r>
      <w:r w:rsidRPr="00035468">
        <w:rPr>
          <w:sz w:val="28"/>
          <w:szCs w:val="28"/>
          <w:lang w:val="uk-UA"/>
        </w:rPr>
        <w:t>.3 статті 208</w:t>
      </w:r>
      <w:r w:rsidRPr="00035468">
        <w:rPr>
          <w:sz w:val="28"/>
          <w:szCs w:val="28"/>
          <w:vertAlign w:val="superscript"/>
          <w:lang w:val="uk-UA"/>
        </w:rPr>
        <w:t>1</w:t>
      </w:r>
      <w:r w:rsidRPr="00035468">
        <w:rPr>
          <w:sz w:val="28"/>
          <w:szCs w:val="28"/>
          <w:lang w:val="uk-UA"/>
        </w:rPr>
        <w:t xml:space="preserve"> розділу V Кодексу а</w:t>
      </w:r>
      <w:r w:rsidRPr="00035468">
        <w:rPr>
          <w:sz w:val="28"/>
          <w:szCs w:val="28"/>
          <w:lang w:val="uk-UA" w:eastAsia="en-US"/>
        </w:rPr>
        <w:t>нулювання реєстрації як платника ПДВ особи-нерезидента здійснюється на підставі заяви про анулювання реєстрації як платника ПДВ (якщо зазначена вище сума не перевищує 1</w:t>
      </w:r>
      <w:r w:rsidR="00B259C7" w:rsidRPr="00035468">
        <w:rPr>
          <w:sz w:val="28"/>
          <w:szCs w:val="28"/>
          <w:lang w:val="uk-UA" w:eastAsia="en-US"/>
        </w:rPr>
        <w:t> </w:t>
      </w:r>
      <w:r w:rsidRPr="00035468">
        <w:rPr>
          <w:sz w:val="28"/>
          <w:szCs w:val="28"/>
          <w:lang w:val="uk-UA" w:eastAsia="en-US"/>
        </w:rPr>
        <w:t>000</w:t>
      </w:r>
      <w:r w:rsidR="00B259C7" w:rsidRPr="00035468">
        <w:rPr>
          <w:sz w:val="28"/>
          <w:szCs w:val="28"/>
          <w:lang w:val="uk-UA" w:eastAsia="en-US"/>
        </w:rPr>
        <w:t> </w:t>
      </w:r>
      <w:r w:rsidRPr="00035468">
        <w:rPr>
          <w:sz w:val="28"/>
          <w:szCs w:val="28"/>
          <w:lang w:val="uk-UA" w:eastAsia="en-US"/>
        </w:rPr>
        <w:t>000 гривень) або рішення контролюючого органу (якщо зареєстрована як платник ПДВ особа-нерезидент за чотири послідовні звітні (податкові) періоди не подає до контролюючого органу спрощених податкових декларацій з податку та/або подає такі декларації, що свідчать про відсутність постачання електронних послуг, або якщо припинено діяльність (ліквідовано) особи-нерезидента в країні реєстрації нерезидента).</w:t>
      </w:r>
    </w:p>
    <w:p w:rsidR="00ED7E5F" w:rsidRPr="00035468" w:rsidRDefault="00ED7E5F" w:rsidP="00ED7E5F">
      <w:pPr>
        <w:pStyle w:val="1"/>
        <w:widowControl w:val="0"/>
        <w:tabs>
          <w:tab w:val="left" w:pos="993"/>
        </w:tabs>
        <w:spacing w:after="0" w:line="240" w:lineRule="auto"/>
        <w:ind w:left="0" w:firstLine="567"/>
        <w:jc w:val="both"/>
        <w:rPr>
          <w:rFonts w:ascii="Times New Roman" w:hAnsi="Times New Roman"/>
          <w:sz w:val="28"/>
          <w:szCs w:val="28"/>
        </w:rPr>
      </w:pPr>
      <w:r w:rsidRPr="00035468">
        <w:rPr>
          <w:rFonts w:ascii="Times New Roman" w:hAnsi="Times New Roman"/>
          <w:sz w:val="28"/>
          <w:szCs w:val="28"/>
        </w:rPr>
        <w:t>З огляду на вимоги статті 208</w:t>
      </w:r>
      <w:r w:rsidRPr="00035468">
        <w:rPr>
          <w:rFonts w:ascii="Times New Roman" w:hAnsi="Times New Roman"/>
          <w:sz w:val="28"/>
          <w:szCs w:val="28"/>
          <w:vertAlign w:val="superscript"/>
        </w:rPr>
        <w:t>1</w:t>
      </w:r>
      <w:r w:rsidRPr="00035468">
        <w:rPr>
          <w:rFonts w:ascii="Times New Roman" w:hAnsi="Times New Roman"/>
          <w:sz w:val="28"/>
          <w:szCs w:val="28"/>
        </w:rPr>
        <w:t xml:space="preserve"> розділу V Кодексу форма заяви про реєстрацію особи-нерезидента як платника ПДВ, форма внесення змін до облікових відомостей, форма заяви про анулювання реєстрації, форми рішення про анулювання реєстрації як платника ПДВ особи-нерезидента та рішення про відмову в анулюванні реєстрації як платника ПДВ встановлюються державною та англійською мовами та затверджуються Міністерством фінансів України. Порядок прийняття рішення про анулювання реєстрації як платника ПДВ особи-нерезидента та рішення про відмову в анулюванні реєстрації як платника ПДВ затверджується Міністерством фінансів України, його офіційний переклад англійською мовою розміщується на спеціальному портальному рішенні для користувачів</w:t>
      </w:r>
      <w:r w:rsidR="00B259C7" w:rsidRPr="00035468">
        <w:rPr>
          <w:rFonts w:ascii="Times New Roman" w:hAnsi="Times New Roman"/>
          <w:sz w:val="28"/>
          <w:szCs w:val="28"/>
        </w:rPr>
        <w:t xml:space="preserve"> </w:t>
      </w:r>
      <w:r w:rsidRPr="00035468">
        <w:rPr>
          <w:rFonts w:ascii="Times New Roman" w:hAnsi="Times New Roman"/>
          <w:sz w:val="28"/>
          <w:szCs w:val="28"/>
        </w:rPr>
        <w:t>нерезидентів, які надають електронні послуги.</w:t>
      </w:r>
    </w:p>
    <w:p w:rsidR="00ED7E5F" w:rsidRPr="00035468" w:rsidRDefault="00B259C7" w:rsidP="00ED7E5F">
      <w:pPr>
        <w:pStyle w:val="StyleWisnow"/>
        <w:widowControl w:val="0"/>
        <w:tabs>
          <w:tab w:val="left" w:pos="993"/>
        </w:tabs>
        <w:spacing w:line="240" w:lineRule="auto"/>
        <w:ind w:firstLine="567"/>
        <w:jc w:val="both"/>
        <w:rPr>
          <w:sz w:val="28"/>
          <w:szCs w:val="28"/>
        </w:rPr>
      </w:pPr>
      <w:r w:rsidRPr="00035468">
        <w:rPr>
          <w:sz w:val="28"/>
          <w:szCs w:val="28"/>
        </w:rPr>
        <w:t>Отже</w:t>
      </w:r>
      <w:r w:rsidR="00ED7E5F" w:rsidRPr="00035468">
        <w:rPr>
          <w:sz w:val="28"/>
          <w:szCs w:val="28"/>
        </w:rPr>
        <w:t xml:space="preserve">, форми відповідних документів, порядок прийняття рішення про анулювання реєстрації як платника ПДВ особи-нерезидента та рішення про відмову в анулюванні реєстрації як платника ПДВ потребують затвердження наказом Міністерства фінансів України. </w:t>
      </w:r>
    </w:p>
    <w:p w:rsidR="00ED7E5F" w:rsidRPr="00035468" w:rsidRDefault="00ED7E5F" w:rsidP="00ED7E5F">
      <w:pPr>
        <w:tabs>
          <w:tab w:val="left" w:pos="993"/>
        </w:tabs>
        <w:ind w:firstLine="567"/>
        <w:jc w:val="both"/>
        <w:rPr>
          <w:sz w:val="28"/>
          <w:szCs w:val="28"/>
          <w:lang w:val="uk-UA"/>
        </w:rPr>
      </w:pPr>
      <w:r w:rsidRPr="00035468">
        <w:rPr>
          <w:sz w:val="28"/>
          <w:szCs w:val="28"/>
          <w:lang w:val="uk-UA"/>
        </w:rPr>
        <w:t xml:space="preserve">На сьогодні порядок реєстрації платників ПДВ, анулювання реєстрації платників ПДВ, ведення реєстру платників ПДВ, присвоєння індивідуального податкового номера платника ПДВ, а також форми заяв про реєстрацію платників ПДВ, документів про анулювання реєстрації платників ПДВ тощо встановлюються Положенням про реєстрацію платників податку на додану вартість, затвердженим наказом Міністерства фінансів України від 14 листопада 2014 року № 1130 та зареєстрованим </w:t>
      </w:r>
      <w:r w:rsidRPr="00035468">
        <w:rPr>
          <w:bCs/>
          <w:sz w:val="28"/>
          <w:szCs w:val="28"/>
          <w:lang w:val="uk-UA"/>
        </w:rPr>
        <w:t xml:space="preserve">у Міністерстві юстиції України </w:t>
      </w:r>
      <w:r w:rsidR="00B259C7" w:rsidRPr="00035468">
        <w:rPr>
          <w:bCs/>
          <w:sz w:val="28"/>
          <w:szCs w:val="28"/>
          <w:lang w:val="uk-UA"/>
        </w:rPr>
        <w:br/>
      </w:r>
      <w:r w:rsidRPr="00035468">
        <w:rPr>
          <w:bCs/>
          <w:sz w:val="28"/>
          <w:szCs w:val="28"/>
          <w:lang w:val="uk-UA"/>
        </w:rPr>
        <w:t xml:space="preserve">17 листопада 2014 року за № 1456/26233 </w:t>
      </w:r>
      <w:r w:rsidRPr="00035468">
        <w:rPr>
          <w:sz w:val="28"/>
          <w:szCs w:val="28"/>
          <w:lang w:val="uk-UA"/>
        </w:rPr>
        <w:t xml:space="preserve">(далі – Наказ № 1130). Отже, існує необхідність у внесенні змін до Наказу № 1130. </w:t>
      </w:r>
    </w:p>
    <w:p w:rsidR="00ED7E5F" w:rsidRPr="00035468" w:rsidRDefault="00ED7E5F" w:rsidP="00ED7E5F">
      <w:pPr>
        <w:tabs>
          <w:tab w:val="left" w:pos="993"/>
        </w:tabs>
        <w:ind w:firstLine="567"/>
        <w:jc w:val="both"/>
        <w:rPr>
          <w:sz w:val="28"/>
          <w:szCs w:val="28"/>
          <w:lang w:val="uk-UA"/>
        </w:rPr>
      </w:pPr>
      <w:r w:rsidRPr="00035468">
        <w:rPr>
          <w:sz w:val="28"/>
          <w:szCs w:val="28"/>
          <w:lang w:val="uk-UA"/>
        </w:rPr>
        <w:t xml:space="preserve">Також підлягають перегляду деякі положення Наказу № 1130 з метою приведення їх у відповідність до чинного законодавства. </w:t>
      </w:r>
    </w:p>
    <w:p w:rsidR="00ED7E5F" w:rsidRPr="00035468" w:rsidRDefault="00ED7E5F" w:rsidP="00ED7E5F">
      <w:pPr>
        <w:pStyle w:val="StyleWisnow"/>
        <w:widowControl w:val="0"/>
        <w:tabs>
          <w:tab w:val="left" w:pos="993"/>
        </w:tabs>
        <w:spacing w:line="240" w:lineRule="auto"/>
        <w:ind w:firstLine="567"/>
        <w:jc w:val="both"/>
        <w:rPr>
          <w:sz w:val="28"/>
          <w:szCs w:val="28"/>
        </w:rPr>
      </w:pPr>
    </w:p>
    <w:p w:rsidR="00ED7E5F" w:rsidRPr="00035468" w:rsidRDefault="00ED7E5F" w:rsidP="00ED7E5F">
      <w:pPr>
        <w:widowControl w:val="0"/>
        <w:numPr>
          <w:ilvl w:val="0"/>
          <w:numId w:val="2"/>
        </w:numPr>
        <w:tabs>
          <w:tab w:val="left" w:pos="851"/>
        </w:tabs>
        <w:ind w:left="0" w:firstLine="567"/>
        <w:jc w:val="both"/>
        <w:rPr>
          <w:b/>
          <w:bCs/>
          <w:sz w:val="28"/>
          <w:szCs w:val="28"/>
          <w:lang w:val="uk-UA"/>
        </w:rPr>
      </w:pPr>
      <w:r w:rsidRPr="00035468">
        <w:rPr>
          <w:b/>
          <w:bCs/>
          <w:sz w:val="28"/>
          <w:szCs w:val="28"/>
          <w:lang w:val="uk-UA"/>
        </w:rPr>
        <w:t>Основні положення проєкту акта</w:t>
      </w:r>
    </w:p>
    <w:p w:rsidR="00ED7E5F" w:rsidRPr="00035468" w:rsidRDefault="00ED7E5F" w:rsidP="00ED7E5F">
      <w:pPr>
        <w:widowControl w:val="0"/>
        <w:tabs>
          <w:tab w:val="left" w:pos="993"/>
        </w:tabs>
        <w:autoSpaceDE w:val="0"/>
        <w:autoSpaceDN w:val="0"/>
        <w:ind w:firstLine="567"/>
        <w:jc w:val="both"/>
        <w:rPr>
          <w:sz w:val="28"/>
          <w:szCs w:val="28"/>
          <w:lang w:val="uk-UA"/>
        </w:rPr>
      </w:pPr>
      <w:r w:rsidRPr="00035468">
        <w:rPr>
          <w:sz w:val="28"/>
          <w:szCs w:val="28"/>
          <w:lang w:val="uk-UA"/>
        </w:rPr>
        <w:t>Для реалізації поставлено</w:t>
      </w:r>
      <w:r w:rsidR="00D02D7A" w:rsidRPr="00035468">
        <w:rPr>
          <w:sz w:val="28"/>
          <w:szCs w:val="28"/>
          <w:lang w:val="uk-UA"/>
        </w:rPr>
        <w:t>го</w:t>
      </w:r>
      <w:r w:rsidRPr="00035468">
        <w:rPr>
          <w:sz w:val="28"/>
          <w:szCs w:val="28"/>
          <w:lang w:val="uk-UA"/>
        </w:rPr>
        <w:t xml:space="preserve"> </w:t>
      </w:r>
      <w:r w:rsidR="00D02D7A" w:rsidRPr="00035468">
        <w:rPr>
          <w:sz w:val="28"/>
          <w:szCs w:val="28"/>
          <w:lang w:val="uk-UA"/>
        </w:rPr>
        <w:t>завдання</w:t>
      </w:r>
      <w:r w:rsidRPr="00035468">
        <w:rPr>
          <w:sz w:val="28"/>
          <w:szCs w:val="28"/>
          <w:lang w:val="uk-UA"/>
        </w:rPr>
        <w:t xml:space="preserve"> Проєктом </w:t>
      </w:r>
      <w:r w:rsidR="00D02D7A" w:rsidRPr="00035468">
        <w:rPr>
          <w:sz w:val="28"/>
          <w:szCs w:val="28"/>
          <w:lang w:val="uk-UA"/>
        </w:rPr>
        <w:t xml:space="preserve">наказу </w:t>
      </w:r>
      <w:r w:rsidRPr="00035468">
        <w:rPr>
          <w:sz w:val="28"/>
          <w:szCs w:val="28"/>
          <w:lang w:val="uk-UA"/>
        </w:rPr>
        <w:t>передбачається:</w:t>
      </w:r>
    </w:p>
    <w:p w:rsidR="00ED7E5F" w:rsidRPr="00035468" w:rsidRDefault="00ED7E5F" w:rsidP="00ED7E5F">
      <w:pPr>
        <w:widowControl w:val="0"/>
        <w:tabs>
          <w:tab w:val="left" w:pos="993"/>
        </w:tabs>
        <w:autoSpaceDE w:val="0"/>
        <w:autoSpaceDN w:val="0"/>
        <w:ind w:firstLine="567"/>
        <w:jc w:val="both"/>
        <w:rPr>
          <w:sz w:val="28"/>
          <w:szCs w:val="28"/>
          <w:lang w:val="uk-UA"/>
        </w:rPr>
      </w:pPr>
      <w:r w:rsidRPr="00035468">
        <w:rPr>
          <w:sz w:val="28"/>
          <w:szCs w:val="28"/>
          <w:lang w:val="uk-UA"/>
        </w:rPr>
        <w:t>доповнити Положення новим розділом VIII «Особливості реєстрації як платників податку на додану вартість осіб-нерезидентів», яким регламентуються процедури реєстрації/перереєстрації/анулювання реєстрації як платників ПДВ осіб-нерезидентів відповідно до норм статті 208</w:t>
      </w:r>
      <w:r w:rsidRPr="00035468">
        <w:rPr>
          <w:sz w:val="28"/>
          <w:szCs w:val="28"/>
          <w:vertAlign w:val="superscript"/>
          <w:lang w:val="uk-UA"/>
        </w:rPr>
        <w:t>1</w:t>
      </w:r>
      <w:r w:rsidRPr="00035468">
        <w:rPr>
          <w:sz w:val="28"/>
          <w:szCs w:val="28"/>
          <w:lang w:val="uk-UA"/>
        </w:rPr>
        <w:t xml:space="preserve"> розділу V Кодексу; </w:t>
      </w:r>
    </w:p>
    <w:p w:rsidR="00D02D7A" w:rsidRPr="00035468" w:rsidRDefault="00D02D7A" w:rsidP="00ED7E5F">
      <w:pPr>
        <w:widowControl w:val="0"/>
        <w:tabs>
          <w:tab w:val="left" w:pos="993"/>
        </w:tabs>
        <w:autoSpaceDE w:val="0"/>
        <w:autoSpaceDN w:val="0"/>
        <w:ind w:firstLine="567"/>
        <w:jc w:val="both"/>
        <w:rPr>
          <w:sz w:val="28"/>
          <w:szCs w:val="28"/>
          <w:lang w:val="uk-UA"/>
        </w:rPr>
      </w:pPr>
    </w:p>
    <w:p w:rsidR="00F10AB8" w:rsidRPr="00035468" w:rsidRDefault="00F10AB8" w:rsidP="00ED7E5F">
      <w:pPr>
        <w:widowControl w:val="0"/>
        <w:tabs>
          <w:tab w:val="left" w:pos="993"/>
        </w:tabs>
        <w:autoSpaceDE w:val="0"/>
        <w:autoSpaceDN w:val="0"/>
        <w:ind w:firstLine="567"/>
        <w:jc w:val="both"/>
        <w:rPr>
          <w:sz w:val="28"/>
          <w:szCs w:val="28"/>
          <w:lang w:val="uk-UA"/>
        </w:rPr>
      </w:pPr>
    </w:p>
    <w:p w:rsidR="00ED7E5F" w:rsidRPr="00035468" w:rsidRDefault="00ED7E5F" w:rsidP="00ED7E5F">
      <w:pPr>
        <w:widowControl w:val="0"/>
        <w:tabs>
          <w:tab w:val="left" w:pos="993"/>
        </w:tabs>
        <w:autoSpaceDE w:val="0"/>
        <w:autoSpaceDN w:val="0"/>
        <w:ind w:firstLine="567"/>
        <w:jc w:val="both"/>
        <w:rPr>
          <w:sz w:val="28"/>
          <w:szCs w:val="28"/>
          <w:lang w:val="uk-UA"/>
        </w:rPr>
      </w:pPr>
      <w:r w:rsidRPr="00035468">
        <w:rPr>
          <w:sz w:val="28"/>
          <w:szCs w:val="28"/>
          <w:lang w:val="uk-UA"/>
        </w:rPr>
        <w:lastRenderedPageBreak/>
        <w:t xml:space="preserve">затвердити нові форми документів: </w:t>
      </w:r>
    </w:p>
    <w:p w:rsidR="00ED7E5F" w:rsidRPr="00035468" w:rsidRDefault="00ED7E5F" w:rsidP="00ED7E5F">
      <w:pPr>
        <w:widowControl w:val="0"/>
        <w:tabs>
          <w:tab w:val="left" w:pos="993"/>
        </w:tabs>
        <w:ind w:firstLine="567"/>
        <w:jc w:val="both"/>
        <w:rPr>
          <w:sz w:val="28"/>
          <w:szCs w:val="28"/>
          <w:lang w:val="uk-UA"/>
        </w:rPr>
      </w:pPr>
      <w:r w:rsidRPr="00035468">
        <w:rPr>
          <w:sz w:val="28"/>
          <w:szCs w:val="28"/>
          <w:lang w:val="ru-RU"/>
        </w:rPr>
        <w:t xml:space="preserve">1) </w:t>
      </w:r>
      <w:r w:rsidRPr="00035468">
        <w:rPr>
          <w:sz w:val="28"/>
          <w:szCs w:val="28"/>
          <w:lang w:val="uk-UA"/>
        </w:rPr>
        <w:t xml:space="preserve">форму заяви про реєстрацію як платника </w:t>
      </w:r>
      <w:r w:rsidR="000E7772" w:rsidRPr="00035468">
        <w:rPr>
          <w:sz w:val="28"/>
          <w:szCs w:val="28"/>
          <w:lang w:val="uk-UA"/>
        </w:rPr>
        <w:t>ПДВ</w:t>
      </w:r>
      <w:r w:rsidRPr="00035468">
        <w:rPr>
          <w:sz w:val="28"/>
          <w:szCs w:val="28"/>
          <w:lang w:val="uk-UA"/>
        </w:rPr>
        <w:t xml:space="preserve"> особи-нерезидента (форма № 1-РОН), яка містить підстави для внесення особи-нерезидента до реєстру платників ПДВ, а саме: </w:t>
      </w:r>
    </w:p>
    <w:p w:rsidR="00ED7E5F" w:rsidRPr="00035468" w:rsidRDefault="00ED7E5F" w:rsidP="00ED7E5F">
      <w:pPr>
        <w:pStyle w:val="rvps2"/>
        <w:widowControl w:val="0"/>
        <w:shd w:val="clear" w:color="auto" w:fill="FFFFFF"/>
        <w:tabs>
          <w:tab w:val="left" w:pos="993"/>
        </w:tabs>
        <w:spacing w:before="0" w:beforeAutospacing="0" w:after="0" w:afterAutospacing="0"/>
        <w:ind w:firstLine="567"/>
        <w:jc w:val="both"/>
        <w:textAlignment w:val="baseline"/>
        <w:rPr>
          <w:sz w:val="28"/>
          <w:szCs w:val="28"/>
        </w:rPr>
      </w:pPr>
      <w:r w:rsidRPr="00035468">
        <w:rPr>
          <w:sz w:val="28"/>
          <w:szCs w:val="28"/>
        </w:rPr>
        <w:t>перелік електронних послуг фізичним особам (має відповідати довіднику електронних послуг у значенні підпункту 14.1.56</w:t>
      </w:r>
      <w:r w:rsidRPr="00035468">
        <w:rPr>
          <w:sz w:val="28"/>
          <w:szCs w:val="28"/>
          <w:vertAlign w:val="superscript"/>
        </w:rPr>
        <w:t>5</w:t>
      </w:r>
      <w:r w:rsidRPr="00035468">
        <w:rPr>
          <w:sz w:val="28"/>
          <w:szCs w:val="28"/>
        </w:rPr>
        <w:t xml:space="preserve"> пункту 14.1 статті 14 </w:t>
      </w:r>
      <w:r w:rsidRPr="00035468">
        <w:rPr>
          <w:sz w:val="28"/>
          <w:szCs w:val="28"/>
        </w:rPr>
        <w:br/>
        <w:t xml:space="preserve">розділу I Кодексу, викладеному </w:t>
      </w:r>
      <w:r w:rsidR="00F10AB8" w:rsidRPr="00035468">
        <w:rPr>
          <w:sz w:val="28"/>
          <w:szCs w:val="28"/>
        </w:rPr>
        <w:t>в</w:t>
      </w:r>
      <w:r w:rsidRPr="00035468">
        <w:rPr>
          <w:sz w:val="28"/>
          <w:szCs w:val="28"/>
        </w:rPr>
        <w:t xml:space="preserve"> додатку 2 до заяви); </w:t>
      </w:r>
    </w:p>
    <w:p w:rsidR="00ED7E5F" w:rsidRPr="00035468" w:rsidRDefault="00ED7E5F" w:rsidP="00ED7E5F">
      <w:pPr>
        <w:tabs>
          <w:tab w:val="left" w:pos="993"/>
        </w:tabs>
        <w:ind w:firstLine="567"/>
        <w:jc w:val="both"/>
        <w:rPr>
          <w:sz w:val="28"/>
          <w:szCs w:val="28"/>
          <w:lang w:val="uk-UA" w:eastAsia="uk-UA"/>
        </w:rPr>
      </w:pPr>
      <w:r w:rsidRPr="00035468">
        <w:rPr>
          <w:sz w:val="28"/>
          <w:szCs w:val="28"/>
          <w:lang w:val="uk-UA" w:eastAsia="uk-UA"/>
        </w:rPr>
        <w:t xml:space="preserve">загальну суму від здійснення операцій з постачання фізичним особам електронних послуг за результатами попереднього календарного року. </w:t>
      </w:r>
    </w:p>
    <w:p w:rsidR="00ED7E5F" w:rsidRPr="00035468" w:rsidRDefault="00ED7E5F" w:rsidP="00ED7E5F">
      <w:pPr>
        <w:widowControl w:val="0"/>
        <w:tabs>
          <w:tab w:val="left" w:pos="993"/>
        </w:tabs>
        <w:autoSpaceDE w:val="0"/>
        <w:autoSpaceDN w:val="0"/>
        <w:ind w:firstLine="567"/>
        <w:jc w:val="both"/>
        <w:rPr>
          <w:sz w:val="28"/>
          <w:szCs w:val="28"/>
          <w:lang w:val="uk-UA"/>
        </w:rPr>
      </w:pPr>
      <w:r w:rsidRPr="00035468">
        <w:rPr>
          <w:spacing w:val="-6"/>
          <w:sz w:val="28"/>
          <w:szCs w:val="28"/>
          <w:lang w:val="uk-UA"/>
        </w:rPr>
        <w:t xml:space="preserve">Водночас форма заяви про реєстрацію використовується особою-нерезидентом </w:t>
      </w:r>
      <w:r w:rsidRPr="00035468">
        <w:rPr>
          <w:spacing w:val="-2"/>
          <w:sz w:val="28"/>
          <w:szCs w:val="28"/>
          <w:lang w:val="uk-UA"/>
        </w:rPr>
        <w:t>для внесення змін до облікових відомостей (позначка «Перереєстрація платником податку (внесення змін до облікових відомостей)» у розділі 1 заяви</w:t>
      </w:r>
      <w:r w:rsidRPr="00035468">
        <w:rPr>
          <w:sz w:val="28"/>
          <w:szCs w:val="28"/>
          <w:lang w:val="uk-UA"/>
        </w:rPr>
        <w:t xml:space="preserve">). </w:t>
      </w:r>
    </w:p>
    <w:p w:rsidR="00ED7E5F" w:rsidRPr="00035468" w:rsidRDefault="00ED7E5F" w:rsidP="00ED7E5F">
      <w:pPr>
        <w:tabs>
          <w:tab w:val="left" w:pos="993"/>
        </w:tabs>
        <w:ind w:firstLine="567"/>
        <w:jc w:val="both"/>
        <w:rPr>
          <w:bCs/>
          <w:sz w:val="28"/>
          <w:szCs w:val="28"/>
          <w:lang w:val="uk-UA"/>
        </w:rPr>
      </w:pPr>
      <w:r w:rsidRPr="00035468">
        <w:rPr>
          <w:bCs/>
          <w:sz w:val="28"/>
          <w:szCs w:val="28"/>
          <w:lang w:val="uk-UA"/>
        </w:rPr>
        <w:t xml:space="preserve">З метою мінімізації кількості запитань з боку </w:t>
      </w:r>
      <w:r w:rsidRPr="00035468">
        <w:rPr>
          <w:sz w:val="28"/>
          <w:szCs w:val="28"/>
          <w:lang w:val="uk-UA"/>
        </w:rPr>
        <w:t xml:space="preserve">осіб-нерезидентів </w:t>
      </w:r>
      <w:r w:rsidRPr="00035468">
        <w:rPr>
          <w:bCs/>
          <w:sz w:val="28"/>
          <w:szCs w:val="28"/>
          <w:lang w:val="uk-UA"/>
        </w:rPr>
        <w:t xml:space="preserve">під час заповнення заяви </w:t>
      </w:r>
      <w:r w:rsidRPr="00035468">
        <w:rPr>
          <w:sz w:val="28"/>
          <w:szCs w:val="28"/>
          <w:lang w:val="uk-UA"/>
        </w:rPr>
        <w:t>за формою № 1-РОН Проєктом</w:t>
      </w:r>
      <w:r w:rsidR="005455C4" w:rsidRPr="00035468">
        <w:rPr>
          <w:sz w:val="28"/>
          <w:szCs w:val="28"/>
          <w:lang w:val="uk-UA"/>
        </w:rPr>
        <w:t xml:space="preserve"> наказу</w:t>
      </w:r>
      <w:r w:rsidRPr="00035468">
        <w:rPr>
          <w:sz w:val="28"/>
          <w:szCs w:val="28"/>
          <w:lang w:val="uk-UA"/>
        </w:rPr>
        <w:t xml:space="preserve"> викладен</w:t>
      </w:r>
      <w:r w:rsidR="005455C4" w:rsidRPr="00035468">
        <w:rPr>
          <w:sz w:val="28"/>
          <w:szCs w:val="28"/>
          <w:lang w:val="uk-UA"/>
        </w:rPr>
        <w:t>о</w:t>
      </w:r>
      <w:r w:rsidRPr="00035468">
        <w:rPr>
          <w:bCs/>
          <w:sz w:val="28"/>
          <w:szCs w:val="28"/>
          <w:lang w:val="uk-UA"/>
        </w:rPr>
        <w:t xml:space="preserve"> відповідні пояснення у додатку 1 до заяви; </w:t>
      </w:r>
    </w:p>
    <w:p w:rsidR="00ED7E5F" w:rsidRPr="00035468" w:rsidRDefault="00ED7E5F" w:rsidP="00ED7E5F">
      <w:pPr>
        <w:tabs>
          <w:tab w:val="left" w:pos="993"/>
        </w:tabs>
        <w:ind w:firstLine="567"/>
        <w:jc w:val="both"/>
        <w:rPr>
          <w:bCs/>
          <w:sz w:val="28"/>
          <w:szCs w:val="28"/>
          <w:lang w:val="uk-UA"/>
        </w:rPr>
      </w:pPr>
      <w:r w:rsidRPr="00035468">
        <w:rPr>
          <w:sz w:val="28"/>
          <w:szCs w:val="28"/>
          <w:lang w:val="uk-UA"/>
        </w:rPr>
        <w:t xml:space="preserve">2) форму заяви про анулювання реєстрації як платника </w:t>
      </w:r>
      <w:r w:rsidR="000E7772" w:rsidRPr="00035468">
        <w:rPr>
          <w:sz w:val="28"/>
          <w:szCs w:val="28"/>
          <w:lang w:val="uk-UA"/>
        </w:rPr>
        <w:t>ПДВ</w:t>
      </w:r>
      <w:r w:rsidRPr="00035468">
        <w:rPr>
          <w:sz w:val="28"/>
          <w:szCs w:val="28"/>
          <w:lang w:val="uk-UA"/>
        </w:rPr>
        <w:t xml:space="preserve"> особи-нерезидента (форма № 2-РОН), яка містить дані щодо загальної суми від здійснення операцій з постачання фізичним особам електронних послуг </w:t>
      </w:r>
      <w:r w:rsidRPr="00035468">
        <w:rPr>
          <w:bCs/>
          <w:sz w:val="28"/>
          <w:szCs w:val="28"/>
          <w:lang w:val="uk-UA"/>
        </w:rPr>
        <w:t xml:space="preserve">за результатами попереднього календарного року, що не перевищує суму </w:t>
      </w:r>
      <w:r w:rsidR="005455C4" w:rsidRPr="00035468">
        <w:rPr>
          <w:bCs/>
          <w:sz w:val="28"/>
          <w:szCs w:val="28"/>
          <w:lang w:val="uk-UA"/>
        </w:rPr>
        <w:br/>
      </w:r>
      <w:r w:rsidRPr="00035468">
        <w:rPr>
          <w:bCs/>
          <w:sz w:val="28"/>
          <w:szCs w:val="28"/>
          <w:lang w:val="uk-UA"/>
        </w:rPr>
        <w:t>в 1</w:t>
      </w:r>
      <w:r w:rsidR="005455C4" w:rsidRPr="00035468">
        <w:rPr>
          <w:bCs/>
          <w:sz w:val="28"/>
          <w:szCs w:val="28"/>
          <w:lang w:val="uk-UA"/>
        </w:rPr>
        <w:t> </w:t>
      </w:r>
      <w:r w:rsidRPr="00035468">
        <w:rPr>
          <w:bCs/>
          <w:sz w:val="28"/>
          <w:szCs w:val="28"/>
          <w:lang w:val="uk-UA"/>
        </w:rPr>
        <w:t>000</w:t>
      </w:r>
      <w:r w:rsidR="005455C4" w:rsidRPr="00035468">
        <w:rPr>
          <w:bCs/>
          <w:sz w:val="28"/>
          <w:szCs w:val="28"/>
          <w:lang w:val="uk-UA"/>
        </w:rPr>
        <w:t> </w:t>
      </w:r>
      <w:r w:rsidRPr="00035468">
        <w:rPr>
          <w:bCs/>
          <w:sz w:val="28"/>
          <w:szCs w:val="28"/>
          <w:lang w:val="uk-UA"/>
        </w:rPr>
        <w:t>000 гривень;</w:t>
      </w:r>
    </w:p>
    <w:p w:rsidR="00ED7E5F" w:rsidRPr="00035468" w:rsidRDefault="00ED7E5F" w:rsidP="00ED7E5F">
      <w:pPr>
        <w:tabs>
          <w:tab w:val="left" w:pos="993"/>
        </w:tabs>
        <w:ind w:firstLine="567"/>
        <w:jc w:val="both"/>
        <w:rPr>
          <w:sz w:val="28"/>
          <w:szCs w:val="28"/>
          <w:lang w:val="uk-UA"/>
        </w:rPr>
      </w:pPr>
      <w:r w:rsidRPr="00035468">
        <w:rPr>
          <w:sz w:val="28"/>
          <w:szCs w:val="28"/>
          <w:lang w:val="uk-UA"/>
        </w:rPr>
        <w:t xml:space="preserve">3) форму рішення про анулювання реєстрації як платника </w:t>
      </w:r>
      <w:r w:rsidR="000E7772" w:rsidRPr="00035468">
        <w:rPr>
          <w:sz w:val="28"/>
          <w:szCs w:val="28"/>
          <w:lang w:val="uk-UA"/>
        </w:rPr>
        <w:t>ПДВ</w:t>
      </w:r>
      <w:r w:rsidRPr="00035468">
        <w:rPr>
          <w:sz w:val="28"/>
          <w:szCs w:val="28"/>
          <w:lang w:val="uk-UA"/>
        </w:rPr>
        <w:t xml:space="preserve"> особи-нерезидента (форма № 3-РОН), яка містить підстави для анулювання реєстрації як платника ПДВ особи-нерезидента відповідно до пункту 208</w:t>
      </w:r>
      <w:r w:rsidRPr="00035468">
        <w:rPr>
          <w:sz w:val="28"/>
          <w:szCs w:val="28"/>
          <w:vertAlign w:val="superscript"/>
          <w:lang w:val="uk-UA"/>
        </w:rPr>
        <w:t>1</w:t>
      </w:r>
      <w:r w:rsidRPr="00035468">
        <w:rPr>
          <w:sz w:val="28"/>
          <w:szCs w:val="28"/>
          <w:lang w:val="uk-UA"/>
        </w:rPr>
        <w:t>.3 статті 208</w:t>
      </w:r>
      <w:r w:rsidRPr="00035468">
        <w:rPr>
          <w:sz w:val="28"/>
          <w:szCs w:val="28"/>
          <w:vertAlign w:val="superscript"/>
          <w:lang w:val="uk-UA"/>
        </w:rPr>
        <w:t>1</w:t>
      </w:r>
      <w:r w:rsidRPr="00035468">
        <w:rPr>
          <w:sz w:val="28"/>
          <w:szCs w:val="28"/>
          <w:lang w:val="uk-UA"/>
        </w:rPr>
        <w:t xml:space="preserve"> розділу V Кодексу, а також дані, що їх підтверджують; </w:t>
      </w:r>
    </w:p>
    <w:p w:rsidR="00ED7E5F" w:rsidRPr="00035468" w:rsidRDefault="00ED7E5F" w:rsidP="00ED7E5F">
      <w:pPr>
        <w:tabs>
          <w:tab w:val="left" w:pos="993"/>
        </w:tabs>
        <w:ind w:firstLine="567"/>
        <w:jc w:val="both"/>
        <w:rPr>
          <w:sz w:val="28"/>
          <w:szCs w:val="28"/>
          <w:lang w:val="uk-UA"/>
        </w:rPr>
      </w:pPr>
      <w:r w:rsidRPr="00035468">
        <w:rPr>
          <w:sz w:val="28"/>
          <w:szCs w:val="28"/>
          <w:lang w:val="ru-RU"/>
        </w:rPr>
        <w:t xml:space="preserve">4) </w:t>
      </w:r>
      <w:r w:rsidRPr="00035468">
        <w:rPr>
          <w:sz w:val="28"/>
          <w:szCs w:val="28"/>
          <w:lang w:val="uk-UA"/>
        </w:rPr>
        <w:t xml:space="preserve">форму рішення про відмову в анулюванні реєстрації як платника </w:t>
      </w:r>
      <w:r w:rsidR="000E7772" w:rsidRPr="00035468">
        <w:rPr>
          <w:sz w:val="28"/>
          <w:szCs w:val="28"/>
          <w:lang w:val="uk-UA"/>
        </w:rPr>
        <w:t>ПДВ</w:t>
      </w:r>
      <w:r w:rsidRPr="00035468">
        <w:rPr>
          <w:sz w:val="28"/>
          <w:szCs w:val="28"/>
          <w:lang w:val="uk-UA"/>
        </w:rPr>
        <w:t xml:space="preserve"> за заявою особи-нерезидента (форма № 4-РОН), яке складається контролюючим органом у разі, якщо зазначена особою-нерезидентом у заяві за формою № 2-РОН загальна сума від здійснення особою-нерезидентом операцій з постачання фізичним особам електронних послуг за результатами попереднього календарного року сукупно перевищує суму, еквівалентну 1</w:t>
      </w:r>
      <w:r w:rsidR="005455C4" w:rsidRPr="00035468">
        <w:rPr>
          <w:sz w:val="28"/>
          <w:szCs w:val="28"/>
          <w:lang w:val="uk-UA"/>
        </w:rPr>
        <w:t> </w:t>
      </w:r>
      <w:r w:rsidRPr="00035468">
        <w:rPr>
          <w:sz w:val="28"/>
          <w:szCs w:val="28"/>
          <w:lang w:val="uk-UA"/>
        </w:rPr>
        <w:t>000</w:t>
      </w:r>
      <w:r w:rsidR="005455C4" w:rsidRPr="00035468">
        <w:rPr>
          <w:sz w:val="28"/>
          <w:szCs w:val="28"/>
          <w:lang w:val="uk-UA"/>
        </w:rPr>
        <w:t> </w:t>
      </w:r>
      <w:r w:rsidRPr="00035468">
        <w:rPr>
          <w:sz w:val="28"/>
          <w:szCs w:val="28"/>
          <w:lang w:val="uk-UA"/>
        </w:rPr>
        <w:t xml:space="preserve">000 гривень. </w:t>
      </w:r>
    </w:p>
    <w:p w:rsidR="00ED7E5F" w:rsidRPr="00035468" w:rsidRDefault="005455C4" w:rsidP="00ED7E5F">
      <w:pPr>
        <w:tabs>
          <w:tab w:val="left" w:pos="993"/>
        </w:tabs>
        <w:ind w:firstLine="567"/>
        <w:jc w:val="both"/>
        <w:rPr>
          <w:sz w:val="28"/>
          <w:szCs w:val="28"/>
          <w:lang w:val="uk-UA"/>
        </w:rPr>
      </w:pPr>
      <w:r w:rsidRPr="00035468">
        <w:rPr>
          <w:sz w:val="28"/>
          <w:szCs w:val="28"/>
          <w:lang w:val="uk-UA"/>
        </w:rPr>
        <w:t xml:space="preserve">Одночасно </w:t>
      </w:r>
      <w:r w:rsidR="00ED7E5F" w:rsidRPr="00035468">
        <w:rPr>
          <w:sz w:val="28"/>
          <w:szCs w:val="28"/>
          <w:lang w:val="uk-UA"/>
        </w:rPr>
        <w:t xml:space="preserve">з такими основними змінами Проєктом </w:t>
      </w:r>
      <w:r w:rsidRPr="00035468">
        <w:rPr>
          <w:sz w:val="28"/>
          <w:szCs w:val="28"/>
          <w:lang w:val="uk-UA"/>
        </w:rPr>
        <w:t xml:space="preserve">наказу </w:t>
      </w:r>
      <w:r w:rsidR="00ED7E5F" w:rsidRPr="00035468">
        <w:rPr>
          <w:sz w:val="28"/>
          <w:szCs w:val="28"/>
          <w:lang w:val="uk-UA"/>
        </w:rPr>
        <w:t>також пропонуються зміни до:</w:t>
      </w:r>
    </w:p>
    <w:p w:rsidR="00ED7E5F" w:rsidRPr="00035468" w:rsidRDefault="00ED7E5F" w:rsidP="00ED7E5F">
      <w:pPr>
        <w:widowControl w:val="0"/>
        <w:tabs>
          <w:tab w:val="left" w:pos="993"/>
        </w:tabs>
        <w:autoSpaceDE w:val="0"/>
        <w:autoSpaceDN w:val="0"/>
        <w:ind w:firstLine="567"/>
        <w:jc w:val="both"/>
        <w:rPr>
          <w:sz w:val="28"/>
          <w:szCs w:val="28"/>
          <w:lang w:val="uk-UA"/>
        </w:rPr>
      </w:pPr>
      <w:r w:rsidRPr="00035468">
        <w:rPr>
          <w:sz w:val="28"/>
          <w:szCs w:val="28"/>
          <w:lang w:val="uk-UA"/>
        </w:rPr>
        <w:t xml:space="preserve">пункту 1.4 розділу I Положення, в якому визначається поняття особи для цілей розділу V Кодексу. Зокрема, пункт доповнюється підпунктом «д», що відповідає підпункту «д» підпункту 14.1.139 пункту 14.1 статті 14 розділу V Кодексу та згідно з яким такою особою є особа-нерезидент, яка постачає електронні послуги фізичним особам, місце постачання яких розташовано на митній території України; </w:t>
      </w:r>
    </w:p>
    <w:p w:rsidR="00ED7E5F" w:rsidRPr="00035468" w:rsidRDefault="00ED7E5F" w:rsidP="00ED7E5F">
      <w:pPr>
        <w:tabs>
          <w:tab w:val="left" w:pos="993"/>
        </w:tabs>
        <w:ind w:firstLine="567"/>
        <w:jc w:val="both"/>
        <w:rPr>
          <w:sz w:val="28"/>
          <w:szCs w:val="28"/>
          <w:lang w:val="uk-UA"/>
        </w:rPr>
      </w:pPr>
      <w:r w:rsidRPr="00035468">
        <w:rPr>
          <w:sz w:val="28"/>
          <w:szCs w:val="28"/>
          <w:lang w:val="uk-UA"/>
        </w:rPr>
        <w:t xml:space="preserve">пункту 1.5 розділу I Положення, в якому визначається поняття платника ПДВ для цілей оподаткування податком на додану вартість. Зокрема, пункт доповнюється підпунктом 9, що відповідає підпункту 9 пункту 180.1 статті 180 розділу V Кодексу та згідно з яким платником ПДВ є особа, визначена </w:t>
      </w:r>
      <w:r w:rsidR="005455C4" w:rsidRPr="00035468">
        <w:rPr>
          <w:sz w:val="28"/>
          <w:szCs w:val="28"/>
          <w:lang w:val="uk-UA"/>
        </w:rPr>
        <w:br/>
      </w:r>
      <w:r w:rsidRPr="00035468">
        <w:rPr>
          <w:sz w:val="28"/>
          <w:szCs w:val="28"/>
          <w:lang w:val="uk-UA"/>
        </w:rPr>
        <w:t xml:space="preserve">у підпункті «д» підпункту 14.1.139 пункту 14.1 статті 14 розділу V Кодексу; </w:t>
      </w:r>
    </w:p>
    <w:p w:rsidR="00ED7E5F" w:rsidRPr="00035468" w:rsidRDefault="00ED7E5F" w:rsidP="00ED7E5F">
      <w:pPr>
        <w:tabs>
          <w:tab w:val="left" w:pos="993"/>
        </w:tabs>
        <w:ind w:firstLine="567"/>
        <w:jc w:val="both"/>
        <w:rPr>
          <w:sz w:val="28"/>
          <w:szCs w:val="28"/>
          <w:lang w:val="uk-UA"/>
        </w:rPr>
      </w:pPr>
      <w:r w:rsidRPr="00035468">
        <w:rPr>
          <w:sz w:val="28"/>
          <w:szCs w:val="28"/>
          <w:lang w:val="uk-UA"/>
        </w:rPr>
        <w:lastRenderedPageBreak/>
        <w:t>пункту 1.6 розділу I Положення, в якому встановлюється порядок присвоєння індивідуального податкового номера платника ПДВ. Зокрема, індивідуальний податковий номер для осіб-нерезидентів становить 9-значний податковий номер, який надають контролюючі органи згідно з порядком обліку платників податків і зборів;</w:t>
      </w:r>
    </w:p>
    <w:p w:rsidR="00ED7E5F" w:rsidRPr="00035468" w:rsidRDefault="00ED7E5F" w:rsidP="00ED7E5F">
      <w:pPr>
        <w:tabs>
          <w:tab w:val="left" w:pos="993"/>
        </w:tabs>
        <w:ind w:firstLine="567"/>
        <w:jc w:val="both"/>
        <w:rPr>
          <w:sz w:val="28"/>
          <w:szCs w:val="28"/>
          <w:lang w:val="uk-UA"/>
        </w:rPr>
      </w:pPr>
      <w:r w:rsidRPr="00035468">
        <w:rPr>
          <w:sz w:val="28"/>
          <w:szCs w:val="28"/>
          <w:lang w:val="uk-UA"/>
        </w:rPr>
        <w:t xml:space="preserve">підпункту 5 пункту 3.6 розділу III Положення, які унормовують питання реєстрації як платника ПДВ суб’єкта господарювання – </w:t>
      </w:r>
      <w:bookmarkStart w:id="0" w:name="_GoBack"/>
      <w:bookmarkEnd w:id="0"/>
      <w:r w:rsidRPr="00035468">
        <w:rPr>
          <w:sz w:val="28"/>
          <w:szCs w:val="28"/>
          <w:lang w:val="uk-UA"/>
        </w:rPr>
        <w:t xml:space="preserve">платника єдиного податку першої або другої групи у разі його добровільного переходу на сплату єдиного податку зі ставкою, що передбачає сплату податку на додану вартість (третя група 3 відсотка); </w:t>
      </w:r>
    </w:p>
    <w:p w:rsidR="00ED7E5F" w:rsidRPr="00035468" w:rsidRDefault="00ED7E5F" w:rsidP="00ED7E5F">
      <w:pPr>
        <w:tabs>
          <w:tab w:val="left" w:pos="993"/>
        </w:tabs>
        <w:ind w:firstLine="567"/>
        <w:jc w:val="both"/>
        <w:rPr>
          <w:sz w:val="28"/>
          <w:szCs w:val="28"/>
          <w:lang w:val="uk-UA"/>
        </w:rPr>
      </w:pPr>
      <w:r w:rsidRPr="00035468">
        <w:rPr>
          <w:sz w:val="28"/>
          <w:szCs w:val="28"/>
          <w:lang w:val="uk-UA"/>
        </w:rPr>
        <w:t xml:space="preserve">пункту 3.17 розділу III, пунктів 5.7 та 5.15 розділу V Положення, що вносяться з метою приведення у відповідність до Закону України від 01 липня 2021 року № 1617-IX «Про внесення змін до Податкового кодексу України та деяких інших законодавчих актів України щодо адміністрування податків </w:t>
      </w:r>
      <w:r w:rsidR="00F757E2" w:rsidRPr="00035468">
        <w:rPr>
          <w:sz w:val="28"/>
          <w:szCs w:val="28"/>
          <w:lang w:val="uk-UA"/>
        </w:rPr>
        <w:br/>
      </w:r>
      <w:r w:rsidRPr="00035468">
        <w:rPr>
          <w:sz w:val="28"/>
          <w:szCs w:val="28"/>
          <w:lang w:val="uk-UA"/>
        </w:rPr>
        <w:t xml:space="preserve">і зборів на тимчасово окупованій території Автономної Республіки Крим та міста Севастополя», який набирає чинності одночасно з набранням чинності Законом України «Про визнання таким, що втратив чинність,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та про внесення змін до деяких законодавчих актів України», але не раніше дня опублікування акта. </w:t>
      </w:r>
    </w:p>
    <w:p w:rsidR="00ED7E5F" w:rsidRPr="00035468" w:rsidRDefault="00ED7E5F" w:rsidP="00ED7E5F">
      <w:pPr>
        <w:tabs>
          <w:tab w:val="left" w:pos="993"/>
        </w:tabs>
        <w:ind w:firstLine="567"/>
        <w:jc w:val="both"/>
        <w:rPr>
          <w:sz w:val="28"/>
          <w:szCs w:val="28"/>
          <w:lang w:val="uk-UA"/>
        </w:rPr>
      </w:pPr>
    </w:p>
    <w:p w:rsidR="00ED7E5F" w:rsidRPr="00035468" w:rsidRDefault="00ED7E5F" w:rsidP="00ED7E5F">
      <w:pPr>
        <w:widowControl w:val="0"/>
        <w:numPr>
          <w:ilvl w:val="0"/>
          <w:numId w:val="2"/>
        </w:numPr>
        <w:tabs>
          <w:tab w:val="left" w:pos="851"/>
        </w:tabs>
        <w:ind w:left="0" w:firstLine="567"/>
        <w:jc w:val="both"/>
        <w:rPr>
          <w:b/>
          <w:bCs/>
          <w:sz w:val="28"/>
          <w:szCs w:val="28"/>
          <w:lang w:val="uk-UA"/>
        </w:rPr>
      </w:pPr>
      <w:r w:rsidRPr="00035468">
        <w:rPr>
          <w:b/>
          <w:bCs/>
          <w:sz w:val="28"/>
          <w:szCs w:val="28"/>
          <w:lang w:val="uk-UA"/>
        </w:rPr>
        <w:t>Правові аспекти</w:t>
      </w:r>
    </w:p>
    <w:p w:rsidR="00ED7E5F" w:rsidRPr="00035468" w:rsidRDefault="00ED7E5F" w:rsidP="00ED7E5F">
      <w:pPr>
        <w:widowControl w:val="0"/>
        <w:tabs>
          <w:tab w:val="num" w:pos="0"/>
          <w:tab w:val="left" w:pos="993"/>
        </w:tabs>
        <w:ind w:firstLine="567"/>
        <w:jc w:val="both"/>
        <w:rPr>
          <w:sz w:val="28"/>
          <w:szCs w:val="28"/>
          <w:lang w:val="uk-UA"/>
        </w:rPr>
      </w:pPr>
      <w:r w:rsidRPr="00035468">
        <w:rPr>
          <w:sz w:val="28"/>
          <w:szCs w:val="28"/>
          <w:lang w:val="uk-UA"/>
        </w:rPr>
        <w:t xml:space="preserve">Проєкт </w:t>
      </w:r>
      <w:r w:rsidR="00F757E2" w:rsidRPr="00035468">
        <w:rPr>
          <w:sz w:val="28"/>
          <w:szCs w:val="28"/>
          <w:lang w:val="uk-UA"/>
        </w:rPr>
        <w:t xml:space="preserve">наказу </w:t>
      </w:r>
      <w:r w:rsidRPr="00035468">
        <w:rPr>
          <w:sz w:val="28"/>
          <w:szCs w:val="28"/>
          <w:lang w:val="uk-UA"/>
        </w:rPr>
        <w:t xml:space="preserve">розроблено відповідно до Закону № 1525-IX та підпункту 5 </w:t>
      </w:r>
      <w:r w:rsidR="00B54420" w:rsidRPr="00035468">
        <w:rPr>
          <w:sz w:val="28"/>
          <w:szCs w:val="28"/>
          <w:lang w:val="ru-RU"/>
        </w:rPr>
        <w:t xml:space="preserve">                  </w:t>
      </w:r>
      <w:r w:rsidRPr="00035468">
        <w:rPr>
          <w:sz w:val="28"/>
          <w:szCs w:val="28"/>
          <w:lang w:val="uk-UA"/>
        </w:rPr>
        <w:t xml:space="preserve">пункту 4 Положення про Міністерство фінансів України, затвердженого постановою Кабінету Міністрів України від 20 серпня 2014 року № 375. </w:t>
      </w:r>
    </w:p>
    <w:p w:rsidR="00ED7E5F" w:rsidRPr="00035468" w:rsidRDefault="00ED7E5F" w:rsidP="00ED7E5F">
      <w:pPr>
        <w:widowControl w:val="0"/>
        <w:tabs>
          <w:tab w:val="num" w:pos="0"/>
          <w:tab w:val="left" w:pos="993"/>
        </w:tabs>
        <w:ind w:firstLine="567"/>
        <w:jc w:val="both"/>
        <w:rPr>
          <w:sz w:val="28"/>
          <w:szCs w:val="28"/>
          <w:lang w:val="uk-UA"/>
        </w:rPr>
      </w:pPr>
      <w:r w:rsidRPr="00035468">
        <w:rPr>
          <w:sz w:val="28"/>
          <w:szCs w:val="28"/>
          <w:lang w:val="uk-UA"/>
        </w:rPr>
        <w:t xml:space="preserve">Нормативну базу у сфері правового регулювання складають: Конституція України, Кодекс, Наказ № 1130. </w:t>
      </w:r>
    </w:p>
    <w:p w:rsidR="00ED7E5F" w:rsidRPr="00035468" w:rsidRDefault="00ED7E5F" w:rsidP="00ED7E5F">
      <w:pPr>
        <w:widowControl w:val="0"/>
        <w:tabs>
          <w:tab w:val="num" w:pos="0"/>
          <w:tab w:val="left" w:pos="993"/>
        </w:tabs>
        <w:ind w:firstLine="567"/>
        <w:jc w:val="both"/>
        <w:rPr>
          <w:sz w:val="28"/>
          <w:szCs w:val="28"/>
          <w:lang w:val="uk-UA"/>
        </w:rPr>
      </w:pPr>
    </w:p>
    <w:p w:rsidR="00ED7E5F" w:rsidRPr="00035468" w:rsidRDefault="00ED7E5F" w:rsidP="00ED7E5F">
      <w:pPr>
        <w:widowControl w:val="0"/>
        <w:numPr>
          <w:ilvl w:val="0"/>
          <w:numId w:val="2"/>
        </w:numPr>
        <w:tabs>
          <w:tab w:val="left" w:pos="851"/>
        </w:tabs>
        <w:ind w:left="0" w:firstLine="567"/>
        <w:jc w:val="both"/>
        <w:rPr>
          <w:b/>
          <w:bCs/>
          <w:sz w:val="28"/>
          <w:szCs w:val="28"/>
          <w:lang w:val="uk-UA"/>
        </w:rPr>
      </w:pPr>
      <w:r w:rsidRPr="00035468">
        <w:rPr>
          <w:b/>
          <w:bCs/>
          <w:sz w:val="28"/>
          <w:szCs w:val="28"/>
          <w:lang w:val="uk-UA"/>
        </w:rPr>
        <w:t xml:space="preserve">Фінансово-економічне обґрунтування </w:t>
      </w:r>
    </w:p>
    <w:p w:rsidR="00ED7E5F" w:rsidRPr="00035468" w:rsidRDefault="00ED7E5F" w:rsidP="00ED7E5F">
      <w:pPr>
        <w:pStyle w:val="a3"/>
        <w:widowControl w:val="0"/>
        <w:tabs>
          <w:tab w:val="num" w:pos="0"/>
          <w:tab w:val="left" w:pos="993"/>
        </w:tabs>
        <w:ind w:right="0" w:firstLine="567"/>
        <w:rPr>
          <w:sz w:val="28"/>
          <w:szCs w:val="28"/>
          <w:lang w:val="uk-UA"/>
        </w:rPr>
      </w:pPr>
      <w:r w:rsidRPr="00035468">
        <w:rPr>
          <w:sz w:val="28"/>
          <w:szCs w:val="28"/>
          <w:lang w:val="uk-UA"/>
        </w:rPr>
        <w:t xml:space="preserve">Реалізація акта не потребуватиме додаткових фінансових витрат </w:t>
      </w:r>
      <w:r w:rsidR="00F757E2" w:rsidRPr="00035468">
        <w:rPr>
          <w:sz w:val="28"/>
          <w:szCs w:val="28"/>
          <w:lang w:val="uk-UA"/>
        </w:rPr>
        <w:br/>
      </w:r>
      <w:r w:rsidRPr="00035468">
        <w:rPr>
          <w:sz w:val="28"/>
          <w:szCs w:val="28"/>
          <w:lang w:val="uk-UA"/>
        </w:rPr>
        <w:t xml:space="preserve">з державного чи місцевих бюджетів. </w:t>
      </w:r>
    </w:p>
    <w:p w:rsidR="00ED7E5F" w:rsidRPr="00035468" w:rsidRDefault="00ED7E5F" w:rsidP="00ED7E5F">
      <w:pPr>
        <w:pStyle w:val="a3"/>
        <w:widowControl w:val="0"/>
        <w:tabs>
          <w:tab w:val="num" w:pos="0"/>
          <w:tab w:val="left" w:pos="993"/>
        </w:tabs>
        <w:ind w:right="0" w:firstLine="567"/>
        <w:rPr>
          <w:sz w:val="28"/>
          <w:szCs w:val="28"/>
          <w:lang w:val="uk-UA"/>
        </w:rPr>
      </w:pPr>
    </w:p>
    <w:p w:rsidR="00ED7E5F" w:rsidRPr="00035468" w:rsidRDefault="00ED7E5F" w:rsidP="00ED7E5F">
      <w:pPr>
        <w:widowControl w:val="0"/>
        <w:numPr>
          <w:ilvl w:val="0"/>
          <w:numId w:val="2"/>
        </w:numPr>
        <w:tabs>
          <w:tab w:val="left" w:pos="851"/>
        </w:tabs>
        <w:ind w:left="0" w:firstLine="567"/>
        <w:jc w:val="both"/>
        <w:rPr>
          <w:b/>
          <w:bCs/>
          <w:sz w:val="28"/>
          <w:szCs w:val="28"/>
          <w:lang w:val="uk-UA"/>
        </w:rPr>
      </w:pPr>
      <w:r w:rsidRPr="00035468">
        <w:rPr>
          <w:b/>
          <w:bCs/>
          <w:sz w:val="28"/>
          <w:szCs w:val="28"/>
          <w:lang w:val="uk-UA"/>
        </w:rPr>
        <w:t>Позиція заінтересованих сторін</w:t>
      </w:r>
    </w:p>
    <w:p w:rsidR="00A01308" w:rsidRPr="00035468" w:rsidRDefault="00A01308" w:rsidP="00A01308">
      <w:pPr>
        <w:pStyle w:val="Style2"/>
        <w:shd w:val="clear" w:color="auto" w:fill="auto"/>
        <w:spacing w:after="0" w:line="317" w:lineRule="exact"/>
        <w:ind w:right="20" w:firstLine="567"/>
        <w:jc w:val="both"/>
      </w:pPr>
      <w:r w:rsidRPr="00035468">
        <w:rPr>
          <w:rStyle w:val="CharStyle3"/>
          <w:rFonts w:ascii="Times New Roman" w:hAnsi="Times New Roman" w:cs="Times New Roman"/>
          <w:spacing w:val="-4"/>
          <w:lang w:val="uk"/>
        </w:rPr>
        <w:t xml:space="preserve">Реалізація </w:t>
      </w:r>
      <w:r w:rsidR="00F757E2" w:rsidRPr="00035468">
        <w:rPr>
          <w:rStyle w:val="CharStyle3"/>
          <w:rFonts w:ascii="Times New Roman" w:hAnsi="Times New Roman" w:cs="Times New Roman"/>
          <w:spacing w:val="-4"/>
          <w:lang w:val="uk"/>
        </w:rPr>
        <w:t>П</w:t>
      </w:r>
      <w:r w:rsidRPr="00035468">
        <w:rPr>
          <w:rStyle w:val="CharStyle3"/>
          <w:rFonts w:ascii="Times New Roman" w:hAnsi="Times New Roman" w:cs="Times New Roman"/>
          <w:spacing w:val="-4"/>
          <w:lang w:val="uk"/>
        </w:rPr>
        <w:t xml:space="preserve">роєкту </w:t>
      </w:r>
      <w:r w:rsidR="00F757E2" w:rsidRPr="00035468">
        <w:rPr>
          <w:rStyle w:val="CharStyle3"/>
          <w:rFonts w:ascii="Times New Roman" w:hAnsi="Times New Roman" w:cs="Times New Roman"/>
          <w:spacing w:val="-4"/>
          <w:lang w:val="uk"/>
        </w:rPr>
        <w:t xml:space="preserve">наказу </w:t>
      </w:r>
      <w:r w:rsidRPr="00035468">
        <w:rPr>
          <w:rStyle w:val="CharStyle3"/>
          <w:rFonts w:ascii="Times New Roman" w:hAnsi="Times New Roman" w:cs="Times New Roman"/>
          <w:spacing w:val="-4"/>
          <w:lang w:val="uk"/>
        </w:rPr>
        <w:t>не матиме впливу на інтереси окремих верств (груп) населення, об</w:t>
      </w:r>
      <w:r w:rsidR="00F757E2" w:rsidRPr="00035468">
        <w:rPr>
          <w:rStyle w:val="CharStyle3"/>
          <w:rFonts w:ascii="Times New Roman" w:hAnsi="Times New Roman" w:cs="Times New Roman"/>
          <w:spacing w:val="-4"/>
          <w:lang w:val="uk"/>
        </w:rPr>
        <w:t>’</w:t>
      </w:r>
      <w:r w:rsidRPr="00035468">
        <w:rPr>
          <w:rStyle w:val="CharStyle3"/>
          <w:rFonts w:ascii="Times New Roman" w:hAnsi="Times New Roman" w:cs="Times New Roman"/>
          <w:spacing w:val="-4"/>
          <w:lang w:val="uk"/>
        </w:rPr>
        <w:t>єднаних спільними інтересами, су</w:t>
      </w:r>
      <w:r w:rsidR="00F757E2" w:rsidRPr="00035468">
        <w:rPr>
          <w:rStyle w:val="CharStyle3"/>
          <w:rFonts w:ascii="Times New Roman" w:hAnsi="Times New Roman" w:cs="Times New Roman"/>
          <w:spacing w:val="-4"/>
          <w:lang w:val="uk"/>
        </w:rPr>
        <w:t>б’є</w:t>
      </w:r>
      <w:r w:rsidRPr="00035468">
        <w:rPr>
          <w:rStyle w:val="CharStyle3"/>
          <w:rFonts w:ascii="Times New Roman" w:hAnsi="Times New Roman" w:cs="Times New Roman"/>
          <w:spacing w:val="-4"/>
          <w:lang w:val="uk"/>
        </w:rPr>
        <w:t>ктів господарювання тощо</w:t>
      </w:r>
      <w:r w:rsidRPr="00035468">
        <w:rPr>
          <w:rStyle w:val="CharStyle3"/>
          <w:rFonts w:ascii="Times New Roman" w:hAnsi="Times New Roman" w:cs="Times New Roman"/>
          <w:lang w:val="uk"/>
        </w:rPr>
        <w:t>.</w:t>
      </w:r>
    </w:p>
    <w:p w:rsidR="00A01308" w:rsidRPr="00035468" w:rsidRDefault="00A01308" w:rsidP="00A01308">
      <w:pPr>
        <w:pStyle w:val="Style2"/>
        <w:shd w:val="clear" w:color="auto" w:fill="auto"/>
        <w:spacing w:after="0" w:line="326" w:lineRule="exact"/>
        <w:ind w:right="20" w:firstLine="567"/>
        <w:jc w:val="both"/>
      </w:pPr>
      <w:r w:rsidRPr="00035468">
        <w:rPr>
          <w:rStyle w:val="CharStyle3"/>
          <w:rFonts w:ascii="Times New Roman" w:hAnsi="Times New Roman" w:cs="Times New Roman"/>
          <w:spacing w:val="-2"/>
          <w:lang w:val="uk"/>
        </w:rPr>
        <w:t xml:space="preserve">Положення </w:t>
      </w:r>
      <w:r w:rsidR="00F757E2" w:rsidRPr="00035468">
        <w:rPr>
          <w:rStyle w:val="CharStyle3"/>
          <w:rFonts w:ascii="Times New Roman" w:hAnsi="Times New Roman" w:cs="Times New Roman"/>
          <w:spacing w:val="-2"/>
          <w:lang w:val="uk"/>
        </w:rPr>
        <w:t>Проєкту наказу</w:t>
      </w:r>
      <w:r w:rsidRPr="00035468">
        <w:rPr>
          <w:rStyle w:val="CharStyle3"/>
          <w:rFonts w:ascii="Times New Roman" w:hAnsi="Times New Roman" w:cs="Times New Roman"/>
          <w:spacing w:val="-2"/>
          <w:lang w:val="uk"/>
        </w:rPr>
        <w:t xml:space="preserve"> не стосуються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сфери наукової та науково-технічної діяльності і не потребують зазначення позиції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w:t>
      </w:r>
      <w:r w:rsidR="00F757E2" w:rsidRPr="00035468">
        <w:rPr>
          <w:rStyle w:val="CharStyle3"/>
          <w:rFonts w:ascii="Times New Roman" w:hAnsi="Times New Roman" w:cs="Times New Roman"/>
          <w:spacing w:val="-2"/>
          <w:lang w:val="uk"/>
        </w:rPr>
        <w:t>’</w:t>
      </w:r>
      <w:r w:rsidRPr="00035468">
        <w:rPr>
          <w:rStyle w:val="CharStyle3"/>
          <w:rFonts w:ascii="Times New Roman" w:hAnsi="Times New Roman" w:cs="Times New Roman"/>
          <w:spacing w:val="-2"/>
          <w:lang w:val="uk"/>
        </w:rPr>
        <w:t>єднань та всеукраїнських о</w:t>
      </w:r>
      <w:r w:rsidR="00F757E2" w:rsidRPr="00035468">
        <w:rPr>
          <w:rStyle w:val="CharStyle3"/>
          <w:rFonts w:ascii="Times New Roman" w:hAnsi="Times New Roman" w:cs="Times New Roman"/>
          <w:spacing w:val="-2"/>
          <w:lang w:val="uk"/>
        </w:rPr>
        <w:t>б’є</w:t>
      </w:r>
      <w:r w:rsidRPr="00035468">
        <w:rPr>
          <w:rStyle w:val="CharStyle3"/>
          <w:rFonts w:ascii="Times New Roman" w:hAnsi="Times New Roman" w:cs="Times New Roman"/>
          <w:spacing w:val="-2"/>
          <w:lang w:val="uk"/>
        </w:rPr>
        <w:t xml:space="preserve">днань організацій </w:t>
      </w:r>
      <w:r w:rsidRPr="00035468">
        <w:rPr>
          <w:rStyle w:val="CharStyle3"/>
          <w:rFonts w:ascii="Times New Roman" w:hAnsi="Times New Roman" w:cs="Times New Roman"/>
          <w:spacing w:val="-2"/>
          <w:lang w:val="uk"/>
        </w:rPr>
        <w:lastRenderedPageBreak/>
        <w:t>роботодавців, Уповноваженого Президента Укра</w:t>
      </w:r>
      <w:r w:rsidR="0035148B" w:rsidRPr="00035468">
        <w:rPr>
          <w:rStyle w:val="CharStyle3"/>
          <w:rFonts w:ascii="Times New Roman" w:hAnsi="Times New Roman" w:cs="Times New Roman"/>
          <w:spacing w:val="-2"/>
          <w:lang w:val="uk"/>
        </w:rPr>
        <w:t>їни з прав людей з інвалідністю;</w:t>
      </w:r>
      <w:r w:rsidRPr="00035468">
        <w:rPr>
          <w:rStyle w:val="CharStyle3"/>
          <w:rFonts w:ascii="Times New Roman" w:hAnsi="Times New Roman" w:cs="Times New Roman"/>
          <w:spacing w:val="-2"/>
          <w:lang w:val="uk"/>
        </w:rPr>
        <w:t xml:space="preserve">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та Наукового комітету Національної ради з питань розвитку науки і технологій</w:t>
      </w:r>
      <w:r w:rsidRPr="00035468">
        <w:rPr>
          <w:rStyle w:val="CharStyle3"/>
          <w:rFonts w:ascii="Times New Roman" w:hAnsi="Times New Roman" w:cs="Times New Roman"/>
          <w:lang w:val="uk"/>
        </w:rPr>
        <w:t>.</w:t>
      </w:r>
      <w:r w:rsidR="00F757E2" w:rsidRPr="00035468">
        <w:rPr>
          <w:rStyle w:val="CharStyle3"/>
          <w:rFonts w:ascii="Times New Roman" w:hAnsi="Times New Roman" w:cs="Times New Roman"/>
          <w:lang w:val="uk"/>
        </w:rPr>
        <w:t xml:space="preserve">  </w:t>
      </w:r>
    </w:p>
    <w:p w:rsidR="00A01308" w:rsidRPr="00035468" w:rsidRDefault="00A01308" w:rsidP="00A01308">
      <w:pPr>
        <w:pStyle w:val="Style2"/>
        <w:shd w:val="clear" w:color="auto" w:fill="auto"/>
        <w:spacing w:after="0" w:line="322" w:lineRule="exact"/>
        <w:ind w:right="20" w:firstLine="567"/>
        <w:jc w:val="both"/>
      </w:pPr>
      <w:r w:rsidRPr="00035468">
        <w:rPr>
          <w:rStyle w:val="CharStyle3"/>
          <w:rFonts w:ascii="Times New Roman" w:hAnsi="Times New Roman" w:cs="Times New Roman"/>
          <w:lang w:val="uk"/>
        </w:rPr>
        <w:t xml:space="preserve">Проєкт </w:t>
      </w:r>
      <w:r w:rsidR="0035148B" w:rsidRPr="00035468">
        <w:rPr>
          <w:rStyle w:val="CharStyle3"/>
          <w:rFonts w:ascii="Times New Roman" w:hAnsi="Times New Roman" w:cs="Times New Roman"/>
          <w:spacing w:val="-2"/>
          <w:lang w:val="uk"/>
        </w:rPr>
        <w:t>наказу</w:t>
      </w:r>
      <w:r w:rsidR="0035148B" w:rsidRPr="00035468">
        <w:rPr>
          <w:rStyle w:val="CharStyle3"/>
          <w:rFonts w:ascii="Times New Roman" w:hAnsi="Times New Roman" w:cs="Times New Roman"/>
          <w:lang w:val="uk"/>
        </w:rPr>
        <w:t xml:space="preserve"> </w:t>
      </w:r>
      <w:r w:rsidRPr="00035468">
        <w:rPr>
          <w:rStyle w:val="CharStyle3"/>
          <w:rFonts w:ascii="Times New Roman" w:hAnsi="Times New Roman" w:cs="Times New Roman"/>
          <w:lang w:val="uk"/>
        </w:rPr>
        <w:t>потребує проведення консультацій з громадськістю та буде оприлюднено, а тому рівень поінформованості суб</w:t>
      </w:r>
      <w:r w:rsidR="0035148B" w:rsidRPr="00035468">
        <w:rPr>
          <w:rStyle w:val="CharStyle3"/>
          <w:rFonts w:ascii="Times New Roman" w:hAnsi="Times New Roman" w:cs="Times New Roman"/>
          <w:lang w:val="uk"/>
        </w:rPr>
        <w:t>’</w:t>
      </w:r>
      <w:r w:rsidRPr="00035468">
        <w:rPr>
          <w:rStyle w:val="CharStyle3"/>
          <w:rFonts w:ascii="Times New Roman" w:hAnsi="Times New Roman" w:cs="Times New Roman"/>
          <w:lang w:val="uk"/>
        </w:rPr>
        <w:t>єктів господарювання є високим.</w:t>
      </w:r>
      <w:r w:rsidR="0035148B" w:rsidRPr="00035468">
        <w:rPr>
          <w:rStyle w:val="CharStyle3"/>
          <w:rFonts w:ascii="Times New Roman" w:hAnsi="Times New Roman" w:cs="Times New Roman"/>
          <w:lang w:val="uk"/>
        </w:rPr>
        <w:t xml:space="preserve"> </w:t>
      </w:r>
    </w:p>
    <w:p w:rsidR="00ED7E5F" w:rsidRPr="00035468" w:rsidRDefault="00A01308" w:rsidP="00ED7E5F">
      <w:pPr>
        <w:widowControl w:val="0"/>
        <w:tabs>
          <w:tab w:val="left" w:pos="993"/>
        </w:tabs>
        <w:ind w:firstLine="567"/>
        <w:jc w:val="both"/>
        <w:rPr>
          <w:sz w:val="28"/>
          <w:szCs w:val="28"/>
          <w:lang w:val="uk-UA"/>
        </w:rPr>
      </w:pPr>
      <w:r w:rsidRPr="00035468">
        <w:rPr>
          <w:bCs/>
          <w:sz w:val="28"/>
          <w:szCs w:val="28"/>
          <w:lang w:val="uk-UA" w:eastAsia="en-US"/>
        </w:rPr>
        <w:t xml:space="preserve">Проєкт </w:t>
      </w:r>
      <w:r w:rsidR="0035148B" w:rsidRPr="00035468">
        <w:rPr>
          <w:rStyle w:val="CharStyle3"/>
          <w:spacing w:val="-2"/>
          <w:lang w:val="uk"/>
        </w:rPr>
        <w:t>наказу</w:t>
      </w:r>
      <w:r w:rsidR="0035148B" w:rsidRPr="00035468">
        <w:rPr>
          <w:bCs/>
          <w:sz w:val="28"/>
          <w:szCs w:val="28"/>
          <w:lang w:val="uk-UA" w:eastAsia="en-US"/>
        </w:rPr>
        <w:t xml:space="preserve"> </w:t>
      </w:r>
      <w:r w:rsidRPr="00035468">
        <w:rPr>
          <w:bCs/>
          <w:sz w:val="28"/>
          <w:szCs w:val="28"/>
          <w:lang w:val="uk-UA" w:eastAsia="en-US"/>
        </w:rPr>
        <w:t>потребує погодження Міністерством цифрової трансформації України, Державною податковою службою України, Державною регуляторною службою України та підлягає реєстрації у Міністерстві юстиції України</w:t>
      </w:r>
      <w:r w:rsidR="00ED7E5F" w:rsidRPr="00035468">
        <w:rPr>
          <w:sz w:val="28"/>
          <w:szCs w:val="28"/>
          <w:lang w:val="uk-UA"/>
        </w:rPr>
        <w:t xml:space="preserve">. </w:t>
      </w:r>
    </w:p>
    <w:p w:rsidR="00ED7E5F" w:rsidRPr="00035468" w:rsidRDefault="00ED7E5F" w:rsidP="00ED7E5F">
      <w:pPr>
        <w:widowControl w:val="0"/>
        <w:tabs>
          <w:tab w:val="left" w:pos="993"/>
        </w:tabs>
        <w:ind w:firstLine="567"/>
        <w:jc w:val="both"/>
        <w:rPr>
          <w:bCs/>
          <w:sz w:val="28"/>
          <w:szCs w:val="28"/>
          <w:lang w:val="uk-UA" w:eastAsia="en-US"/>
        </w:rPr>
      </w:pPr>
    </w:p>
    <w:p w:rsidR="00ED7E5F" w:rsidRPr="00035468" w:rsidRDefault="00ED7E5F" w:rsidP="00ED7E5F">
      <w:pPr>
        <w:widowControl w:val="0"/>
        <w:numPr>
          <w:ilvl w:val="0"/>
          <w:numId w:val="2"/>
        </w:numPr>
        <w:tabs>
          <w:tab w:val="left" w:pos="851"/>
        </w:tabs>
        <w:ind w:left="0" w:firstLine="567"/>
        <w:jc w:val="both"/>
        <w:rPr>
          <w:b/>
          <w:bCs/>
          <w:sz w:val="28"/>
          <w:szCs w:val="28"/>
          <w:lang w:val="uk-UA"/>
        </w:rPr>
      </w:pPr>
      <w:r w:rsidRPr="00035468">
        <w:rPr>
          <w:b/>
          <w:bCs/>
          <w:sz w:val="28"/>
          <w:szCs w:val="28"/>
          <w:lang w:val="uk-UA"/>
        </w:rPr>
        <w:t xml:space="preserve">Оцінка відповідності </w:t>
      </w:r>
    </w:p>
    <w:p w:rsidR="00864390" w:rsidRPr="00035468" w:rsidRDefault="00864390" w:rsidP="00864390">
      <w:pPr>
        <w:widowControl w:val="0"/>
        <w:tabs>
          <w:tab w:val="left" w:pos="993"/>
        </w:tabs>
        <w:ind w:firstLine="567"/>
        <w:jc w:val="both"/>
        <w:rPr>
          <w:sz w:val="28"/>
          <w:szCs w:val="28"/>
          <w:lang w:val="uk-UA"/>
        </w:rPr>
      </w:pPr>
      <w:r w:rsidRPr="00035468">
        <w:rPr>
          <w:sz w:val="28"/>
          <w:szCs w:val="28"/>
          <w:lang w:val="uk-UA"/>
        </w:rPr>
        <w:t xml:space="preserve">Проєкт </w:t>
      </w:r>
      <w:r w:rsidR="0035148B" w:rsidRPr="00035468">
        <w:rPr>
          <w:rStyle w:val="CharStyle3"/>
          <w:spacing w:val="-2"/>
          <w:lang w:val="uk"/>
        </w:rPr>
        <w:t>наказу</w:t>
      </w:r>
      <w:r w:rsidR="0035148B" w:rsidRPr="00035468">
        <w:rPr>
          <w:sz w:val="28"/>
          <w:szCs w:val="28"/>
          <w:lang w:val="uk-UA"/>
        </w:rPr>
        <w:t xml:space="preserve"> </w:t>
      </w:r>
      <w:r w:rsidRPr="00035468">
        <w:rPr>
          <w:sz w:val="28"/>
          <w:szCs w:val="28"/>
          <w:lang w:val="uk-UA"/>
        </w:rPr>
        <w:t>не містить положень, що:</w:t>
      </w:r>
      <w:r w:rsidR="0035148B" w:rsidRPr="00035468">
        <w:rPr>
          <w:sz w:val="28"/>
          <w:szCs w:val="28"/>
          <w:lang w:val="uk-UA"/>
        </w:rPr>
        <w:t xml:space="preserve"> </w:t>
      </w:r>
    </w:p>
    <w:p w:rsidR="00864390" w:rsidRPr="00035468" w:rsidRDefault="00864390" w:rsidP="00864390">
      <w:pPr>
        <w:widowControl w:val="0"/>
        <w:tabs>
          <w:tab w:val="left" w:pos="993"/>
        </w:tabs>
        <w:ind w:firstLine="567"/>
        <w:jc w:val="both"/>
        <w:rPr>
          <w:sz w:val="28"/>
          <w:szCs w:val="28"/>
          <w:lang w:val="uk-UA"/>
        </w:rPr>
      </w:pPr>
      <w:r w:rsidRPr="00035468">
        <w:rPr>
          <w:sz w:val="28"/>
          <w:szCs w:val="28"/>
          <w:lang w:val="uk-UA"/>
        </w:rPr>
        <w:t>стосуються зобов’язань України у сфері європейської інтеграції;</w:t>
      </w:r>
    </w:p>
    <w:p w:rsidR="00864390" w:rsidRPr="00035468" w:rsidRDefault="00864390" w:rsidP="00864390">
      <w:pPr>
        <w:widowControl w:val="0"/>
        <w:tabs>
          <w:tab w:val="left" w:pos="993"/>
        </w:tabs>
        <w:ind w:firstLine="567"/>
        <w:jc w:val="both"/>
        <w:rPr>
          <w:sz w:val="28"/>
          <w:szCs w:val="28"/>
          <w:lang w:val="uk-UA"/>
        </w:rPr>
      </w:pPr>
      <w:r w:rsidRPr="00035468">
        <w:rPr>
          <w:sz w:val="28"/>
          <w:szCs w:val="28"/>
          <w:lang w:val="uk-UA"/>
        </w:rPr>
        <w:t>стосуються прав та свобод, гарантованих Конвенцією про захист прав людини і основоположних свобод;</w:t>
      </w:r>
    </w:p>
    <w:p w:rsidR="00864390" w:rsidRPr="00035468" w:rsidRDefault="00864390" w:rsidP="00864390">
      <w:pPr>
        <w:widowControl w:val="0"/>
        <w:tabs>
          <w:tab w:val="left" w:pos="993"/>
        </w:tabs>
        <w:ind w:firstLine="567"/>
        <w:jc w:val="both"/>
        <w:rPr>
          <w:sz w:val="28"/>
          <w:szCs w:val="28"/>
          <w:lang w:val="uk-UA"/>
        </w:rPr>
      </w:pPr>
      <w:r w:rsidRPr="00035468">
        <w:rPr>
          <w:sz w:val="28"/>
          <w:szCs w:val="28"/>
          <w:lang w:val="uk-UA"/>
        </w:rPr>
        <w:t>впливають на забезпечення рівних прав та можливостей жінок і чоловіків;</w:t>
      </w:r>
    </w:p>
    <w:p w:rsidR="00864390" w:rsidRPr="00035468" w:rsidRDefault="00864390" w:rsidP="00864390">
      <w:pPr>
        <w:widowControl w:val="0"/>
        <w:tabs>
          <w:tab w:val="left" w:pos="993"/>
        </w:tabs>
        <w:ind w:firstLine="567"/>
        <w:jc w:val="both"/>
        <w:rPr>
          <w:sz w:val="28"/>
          <w:szCs w:val="28"/>
          <w:lang w:val="uk-UA"/>
        </w:rPr>
      </w:pPr>
      <w:r w:rsidRPr="00035468">
        <w:rPr>
          <w:sz w:val="28"/>
          <w:szCs w:val="28"/>
          <w:lang w:val="uk-UA"/>
        </w:rPr>
        <w:t>містять ризики вчинення корупційних правопорушень та правопорушень, пов’язаних з корупцією;</w:t>
      </w:r>
    </w:p>
    <w:p w:rsidR="00864390" w:rsidRPr="00035468" w:rsidRDefault="00864390" w:rsidP="00864390">
      <w:pPr>
        <w:widowControl w:val="0"/>
        <w:tabs>
          <w:tab w:val="left" w:pos="993"/>
        </w:tabs>
        <w:ind w:firstLine="567"/>
        <w:jc w:val="both"/>
        <w:rPr>
          <w:sz w:val="28"/>
          <w:szCs w:val="28"/>
          <w:lang w:val="uk-UA"/>
        </w:rPr>
      </w:pPr>
      <w:r w:rsidRPr="00035468">
        <w:rPr>
          <w:sz w:val="28"/>
          <w:szCs w:val="28"/>
          <w:lang w:val="uk-UA"/>
        </w:rPr>
        <w:t>створюють підстави для дискримінації.</w:t>
      </w:r>
    </w:p>
    <w:p w:rsidR="00ED7E5F" w:rsidRPr="00035468" w:rsidRDefault="00864390" w:rsidP="00864390">
      <w:pPr>
        <w:widowControl w:val="0"/>
        <w:tabs>
          <w:tab w:val="left" w:pos="993"/>
        </w:tabs>
        <w:ind w:firstLine="567"/>
        <w:jc w:val="both"/>
        <w:rPr>
          <w:sz w:val="28"/>
          <w:szCs w:val="28"/>
          <w:lang w:val="uk-UA"/>
        </w:rPr>
      </w:pPr>
      <w:r w:rsidRPr="00035468">
        <w:rPr>
          <w:sz w:val="28"/>
          <w:szCs w:val="28"/>
          <w:lang w:val="uk-UA"/>
        </w:rPr>
        <w:t xml:space="preserve">Проєкт </w:t>
      </w:r>
      <w:r w:rsidR="0035148B" w:rsidRPr="00035468">
        <w:rPr>
          <w:rStyle w:val="CharStyle3"/>
          <w:spacing w:val="-2"/>
          <w:lang w:val="uk"/>
        </w:rPr>
        <w:t>наказу</w:t>
      </w:r>
      <w:r w:rsidR="0035148B" w:rsidRPr="00035468">
        <w:rPr>
          <w:sz w:val="28"/>
          <w:szCs w:val="28"/>
          <w:lang w:val="uk-UA"/>
        </w:rPr>
        <w:t xml:space="preserve"> </w:t>
      </w:r>
      <w:r w:rsidRPr="00035468">
        <w:rPr>
          <w:sz w:val="28"/>
          <w:szCs w:val="28"/>
          <w:lang w:val="uk-UA"/>
        </w:rPr>
        <w:t>не потребує проведення громадської антикорупційної, громадської антидискримінаційної та громадської гендерно-правової експертиз.</w:t>
      </w:r>
      <w:r w:rsidR="00ED7E5F" w:rsidRPr="00035468">
        <w:rPr>
          <w:sz w:val="28"/>
          <w:szCs w:val="28"/>
          <w:lang w:val="uk-UA"/>
        </w:rPr>
        <w:t xml:space="preserve"> </w:t>
      </w:r>
      <w:r w:rsidR="0035148B" w:rsidRPr="00035468">
        <w:rPr>
          <w:sz w:val="28"/>
          <w:szCs w:val="28"/>
          <w:lang w:val="uk-UA"/>
        </w:rPr>
        <w:t xml:space="preserve"> </w:t>
      </w:r>
    </w:p>
    <w:p w:rsidR="00ED7E5F" w:rsidRPr="00035468" w:rsidRDefault="00ED7E5F" w:rsidP="00ED7E5F">
      <w:pPr>
        <w:widowControl w:val="0"/>
        <w:tabs>
          <w:tab w:val="left" w:pos="993"/>
        </w:tabs>
        <w:ind w:firstLine="567"/>
        <w:jc w:val="both"/>
        <w:rPr>
          <w:bCs/>
          <w:sz w:val="28"/>
          <w:szCs w:val="28"/>
          <w:lang w:val="uk-UA"/>
        </w:rPr>
      </w:pPr>
    </w:p>
    <w:p w:rsidR="00ED7E5F" w:rsidRPr="00035468" w:rsidRDefault="00ED7E5F" w:rsidP="00ED7E5F">
      <w:pPr>
        <w:widowControl w:val="0"/>
        <w:numPr>
          <w:ilvl w:val="0"/>
          <w:numId w:val="2"/>
        </w:numPr>
        <w:tabs>
          <w:tab w:val="left" w:pos="851"/>
        </w:tabs>
        <w:ind w:left="0" w:firstLine="567"/>
        <w:jc w:val="both"/>
        <w:rPr>
          <w:b/>
          <w:bCs/>
          <w:sz w:val="28"/>
          <w:szCs w:val="28"/>
          <w:lang w:val="uk-UA"/>
        </w:rPr>
      </w:pPr>
      <w:r w:rsidRPr="00035468">
        <w:rPr>
          <w:b/>
          <w:bCs/>
          <w:sz w:val="28"/>
          <w:szCs w:val="28"/>
          <w:lang w:val="uk-UA"/>
        </w:rPr>
        <w:t xml:space="preserve">Прогноз результатів </w:t>
      </w:r>
    </w:p>
    <w:p w:rsidR="008E08F9" w:rsidRPr="00077561" w:rsidRDefault="008E08F9" w:rsidP="008E08F9">
      <w:pPr>
        <w:pStyle w:val="2"/>
        <w:tabs>
          <w:tab w:val="left" w:pos="0"/>
          <w:tab w:val="left" w:pos="993"/>
        </w:tabs>
        <w:spacing w:line="233" w:lineRule="auto"/>
        <w:rPr>
          <w:spacing w:val="-3"/>
          <w:sz w:val="28"/>
          <w:szCs w:val="28"/>
          <w:lang w:val="uk-UA"/>
        </w:rPr>
      </w:pPr>
      <w:r w:rsidRPr="00077561">
        <w:rPr>
          <w:spacing w:val="-3"/>
          <w:sz w:val="28"/>
          <w:szCs w:val="28"/>
          <w:lang w:val="uk-UA"/>
        </w:rPr>
        <w:t>Прийняття Проєкту наказу не вплине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8E08F9" w:rsidRDefault="008E08F9" w:rsidP="008E08F9">
      <w:pPr>
        <w:pStyle w:val="2"/>
        <w:tabs>
          <w:tab w:val="left" w:pos="0"/>
          <w:tab w:val="left" w:pos="993"/>
        </w:tabs>
        <w:spacing w:line="233" w:lineRule="auto"/>
        <w:ind w:right="0"/>
        <w:rPr>
          <w:spacing w:val="-3"/>
          <w:sz w:val="28"/>
          <w:szCs w:val="28"/>
          <w:lang w:val="uk-UA"/>
        </w:rPr>
      </w:pPr>
      <w:r w:rsidRPr="00077561">
        <w:rPr>
          <w:spacing w:val="-3"/>
          <w:sz w:val="28"/>
          <w:szCs w:val="28"/>
          <w:lang w:val="uk-UA"/>
        </w:rPr>
        <w:t xml:space="preserve">Прийняття </w:t>
      </w:r>
      <w:r w:rsidR="00077561" w:rsidRPr="00077561">
        <w:rPr>
          <w:spacing w:val="-3"/>
          <w:sz w:val="28"/>
          <w:szCs w:val="28"/>
          <w:lang w:val="uk-UA"/>
        </w:rPr>
        <w:t>П</w:t>
      </w:r>
      <w:r w:rsidRPr="00077561">
        <w:rPr>
          <w:spacing w:val="-3"/>
          <w:sz w:val="28"/>
          <w:szCs w:val="28"/>
          <w:lang w:val="uk-UA"/>
        </w:rPr>
        <w:t>роєкту наказу матиме вплив на інтереси заінтересованих сторін:</w:t>
      </w:r>
    </w:p>
    <w:p w:rsidR="00CC2042" w:rsidRPr="00CC2042" w:rsidRDefault="00CC2042" w:rsidP="008E08F9">
      <w:pPr>
        <w:pStyle w:val="2"/>
        <w:tabs>
          <w:tab w:val="left" w:pos="0"/>
          <w:tab w:val="left" w:pos="993"/>
        </w:tabs>
        <w:spacing w:line="233" w:lineRule="auto"/>
        <w:ind w:right="0"/>
        <w:rPr>
          <w:spacing w:val="-3"/>
          <w:sz w:val="14"/>
          <w:szCs w:val="14"/>
          <w:lang w:val="uk-UA"/>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126"/>
        <w:gridCol w:w="3827"/>
      </w:tblGrid>
      <w:tr w:rsidR="00077561" w:rsidRPr="00077561" w:rsidTr="00077561">
        <w:tc>
          <w:tcPr>
            <w:tcW w:w="3681" w:type="dxa"/>
          </w:tcPr>
          <w:p w:rsidR="008E08F9" w:rsidRPr="00077561" w:rsidRDefault="008E08F9" w:rsidP="008E08F9">
            <w:pPr>
              <w:ind w:firstLine="22"/>
              <w:jc w:val="both"/>
              <w:rPr>
                <w:b/>
                <w:sz w:val="28"/>
                <w:szCs w:val="28"/>
                <w:lang w:val="uk-UA"/>
              </w:rPr>
            </w:pPr>
            <w:r w:rsidRPr="00077561">
              <w:rPr>
                <w:b/>
                <w:sz w:val="28"/>
                <w:szCs w:val="28"/>
                <w:lang w:val="uk-UA"/>
              </w:rPr>
              <w:t>Заінтересована сторона</w:t>
            </w:r>
          </w:p>
        </w:tc>
        <w:tc>
          <w:tcPr>
            <w:tcW w:w="2126" w:type="dxa"/>
          </w:tcPr>
          <w:p w:rsidR="00CC2042" w:rsidRDefault="00CC2042" w:rsidP="008E08F9">
            <w:pPr>
              <w:ind w:firstLine="22"/>
              <w:jc w:val="both"/>
              <w:rPr>
                <w:b/>
                <w:sz w:val="28"/>
                <w:szCs w:val="28"/>
                <w:lang w:val="uk-UA"/>
              </w:rPr>
            </w:pPr>
            <w:r>
              <w:rPr>
                <w:b/>
                <w:sz w:val="28"/>
                <w:szCs w:val="28"/>
                <w:lang w:val="uk-UA"/>
              </w:rPr>
              <w:t>Вплив реалізації</w:t>
            </w:r>
          </w:p>
          <w:p w:rsidR="008E08F9" w:rsidRPr="00077561" w:rsidRDefault="008E08F9" w:rsidP="00CC2042">
            <w:pPr>
              <w:ind w:firstLine="22"/>
              <w:jc w:val="both"/>
              <w:rPr>
                <w:b/>
                <w:sz w:val="28"/>
                <w:szCs w:val="28"/>
                <w:lang w:val="uk-UA"/>
              </w:rPr>
            </w:pPr>
            <w:r w:rsidRPr="00077561">
              <w:rPr>
                <w:b/>
                <w:sz w:val="28"/>
                <w:szCs w:val="28"/>
                <w:lang w:val="uk-UA"/>
              </w:rPr>
              <w:t>акта</w:t>
            </w:r>
            <w:r w:rsidR="00CC2042">
              <w:rPr>
                <w:b/>
                <w:sz w:val="28"/>
                <w:szCs w:val="28"/>
                <w:lang w:val="uk-UA"/>
              </w:rPr>
              <w:t> </w:t>
            </w:r>
            <w:r w:rsidRPr="00077561">
              <w:rPr>
                <w:b/>
                <w:sz w:val="28"/>
                <w:szCs w:val="28"/>
                <w:lang w:val="uk-UA"/>
              </w:rPr>
              <w:t>на заінтересовану сторону</w:t>
            </w:r>
          </w:p>
        </w:tc>
        <w:tc>
          <w:tcPr>
            <w:tcW w:w="3827" w:type="dxa"/>
          </w:tcPr>
          <w:p w:rsidR="008E08F9" w:rsidRPr="00077561" w:rsidRDefault="008E08F9" w:rsidP="008E08F9">
            <w:pPr>
              <w:ind w:firstLine="22"/>
              <w:jc w:val="both"/>
              <w:rPr>
                <w:b/>
                <w:sz w:val="28"/>
                <w:szCs w:val="28"/>
                <w:lang w:val="uk-UA"/>
              </w:rPr>
            </w:pPr>
            <w:r w:rsidRPr="00077561">
              <w:rPr>
                <w:b/>
                <w:sz w:val="28"/>
                <w:szCs w:val="28"/>
                <w:lang w:val="uk-UA"/>
              </w:rPr>
              <w:t>Пояснення очікуваного впливу</w:t>
            </w:r>
          </w:p>
        </w:tc>
      </w:tr>
      <w:tr w:rsidR="00077561" w:rsidRPr="00CC2042" w:rsidTr="00077561">
        <w:tc>
          <w:tcPr>
            <w:tcW w:w="3681" w:type="dxa"/>
          </w:tcPr>
          <w:p w:rsidR="008E08F9" w:rsidRPr="00077561" w:rsidRDefault="008E08F9" w:rsidP="008E08F9">
            <w:pPr>
              <w:jc w:val="both"/>
              <w:textAlignment w:val="baseline"/>
              <w:rPr>
                <w:sz w:val="28"/>
                <w:szCs w:val="28"/>
                <w:lang w:val="uk-UA" w:eastAsia="uk-UA"/>
              </w:rPr>
            </w:pPr>
            <w:r w:rsidRPr="00077561">
              <w:rPr>
                <w:sz w:val="28"/>
                <w:szCs w:val="28"/>
                <w:lang w:val="uk-UA" w:eastAsia="uk-UA"/>
              </w:rPr>
              <w:t xml:space="preserve">Податкові органи </w:t>
            </w:r>
          </w:p>
        </w:tc>
        <w:tc>
          <w:tcPr>
            <w:tcW w:w="2126" w:type="dxa"/>
          </w:tcPr>
          <w:p w:rsidR="008E08F9" w:rsidRPr="00077561" w:rsidRDefault="00077561" w:rsidP="008E08F9">
            <w:pPr>
              <w:pStyle w:val="aa"/>
              <w:spacing w:before="0" w:beforeAutospacing="0" w:after="0" w:afterAutospacing="0"/>
              <w:jc w:val="both"/>
              <w:rPr>
                <w:sz w:val="28"/>
                <w:szCs w:val="28"/>
                <w:lang w:val="uk-UA" w:eastAsia="uk-UA"/>
              </w:rPr>
            </w:pPr>
            <w:r w:rsidRPr="00077561">
              <w:rPr>
                <w:sz w:val="28"/>
                <w:szCs w:val="28"/>
                <w:lang w:val="uk-UA"/>
              </w:rPr>
              <w:t>Позитивний</w:t>
            </w:r>
          </w:p>
        </w:tc>
        <w:tc>
          <w:tcPr>
            <w:tcW w:w="3827" w:type="dxa"/>
          </w:tcPr>
          <w:p w:rsidR="008E08F9" w:rsidRPr="00077561" w:rsidRDefault="008E08F9" w:rsidP="00077561">
            <w:pPr>
              <w:pStyle w:val="aa"/>
              <w:spacing w:before="0" w:beforeAutospacing="0" w:after="0" w:afterAutospacing="0"/>
              <w:jc w:val="both"/>
              <w:rPr>
                <w:sz w:val="28"/>
                <w:szCs w:val="28"/>
                <w:lang w:val="uk-UA" w:eastAsia="uk-UA"/>
              </w:rPr>
            </w:pPr>
            <w:r w:rsidRPr="00077561">
              <w:rPr>
                <w:sz w:val="28"/>
                <w:szCs w:val="28"/>
                <w:lang w:val="uk-UA" w:eastAsia="uk-UA"/>
              </w:rPr>
              <w:t xml:space="preserve">Реалізація акта забезпечить </w:t>
            </w:r>
            <w:r w:rsidRPr="00077561">
              <w:rPr>
                <w:sz w:val="28"/>
                <w:szCs w:val="28"/>
                <w:lang w:val="uk-UA"/>
              </w:rPr>
              <w:t xml:space="preserve">створення умов для ефективного адміністрування процедур, пов’язаних зі сплатою податку на додану </w:t>
            </w:r>
            <w:r w:rsidRPr="00077561">
              <w:rPr>
                <w:sz w:val="28"/>
                <w:szCs w:val="28"/>
                <w:lang w:val="uk-UA"/>
              </w:rPr>
              <w:lastRenderedPageBreak/>
              <w:t xml:space="preserve">вартість, </w:t>
            </w:r>
            <w:r w:rsidR="00077561" w:rsidRPr="00077561">
              <w:rPr>
                <w:sz w:val="28"/>
                <w:szCs w:val="28"/>
                <w:lang w:val="uk-UA"/>
              </w:rPr>
              <w:t>для осіб-нерезидентів і держави.</w:t>
            </w:r>
          </w:p>
        </w:tc>
      </w:tr>
      <w:tr w:rsidR="00077561" w:rsidRPr="00077561" w:rsidTr="00077561">
        <w:tc>
          <w:tcPr>
            <w:tcW w:w="3681" w:type="dxa"/>
          </w:tcPr>
          <w:p w:rsidR="008E08F9" w:rsidRPr="00077561" w:rsidRDefault="008E08F9" w:rsidP="008E08F9">
            <w:pPr>
              <w:jc w:val="both"/>
              <w:textAlignment w:val="baseline"/>
              <w:rPr>
                <w:sz w:val="28"/>
                <w:szCs w:val="28"/>
                <w:lang w:val="uk-UA" w:eastAsia="uk-UA"/>
              </w:rPr>
            </w:pPr>
            <w:r w:rsidRPr="00077561">
              <w:rPr>
                <w:sz w:val="28"/>
                <w:szCs w:val="28"/>
                <w:lang w:val="uk-UA" w:eastAsia="uk-UA"/>
              </w:rPr>
              <w:lastRenderedPageBreak/>
              <w:t xml:space="preserve">Особи-нерезиденти, </w:t>
            </w:r>
            <w:r w:rsidRPr="00077561">
              <w:rPr>
                <w:sz w:val="28"/>
                <w:szCs w:val="28"/>
                <w:lang w:val="uk-UA"/>
              </w:rPr>
              <w:t xml:space="preserve">які не мають постійного представництва та постачають на митній території України фізичним особам, у тому числі фізичним особам – підприємцям, не зареєстрованим платниками ПДВ, електронні послуги, </w:t>
            </w:r>
            <w:r w:rsidR="003A1624">
              <w:rPr>
                <w:sz w:val="28"/>
                <w:szCs w:val="28"/>
                <w:lang w:val="uk-UA"/>
              </w:rPr>
              <w:br/>
            </w:r>
            <w:r w:rsidRPr="00077561">
              <w:rPr>
                <w:sz w:val="28"/>
                <w:szCs w:val="28"/>
                <w:lang w:val="uk-UA"/>
              </w:rPr>
              <w:t xml:space="preserve">у тому числі шляхом надання доступу до електронних послуг через електронний інтерфейс, надання технічних, організаційних, інформаційних та інших можливостей, які здійснюються </w:t>
            </w:r>
            <w:r w:rsidR="003A1624">
              <w:rPr>
                <w:sz w:val="28"/>
                <w:szCs w:val="28"/>
                <w:lang w:val="uk-UA"/>
              </w:rPr>
              <w:br/>
            </w:r>
            <w:r w:rsidRPr="00077561">
              <w:rPr>
                <w:sz w:val="28"/>
                <w:szCs w:val="28"/>
                <w:lang w:val="uk-UA"/>
              </w:rPr>
              <w:t>з використанням інформаційних технологій і систем, для встановлення контактів та укладення угод між продавцями і покупцями та/або постачає такі електронні послуги за посередницькими договорами від власного імені, але за дорученням надавача електронних послуг</w:t>
            </w:r>
          </w:p>
        </w:tc>
        <w:tc>
          <w:tcPr>
            <w:tcW w:w="2126" w:type="dxa"/>
          </w:tcPr>
          <w:p w:rsidR="008E08F9" w:rsidRPr="00077561" w:rsidRDefault="008E08F9" w:rsidP="00077561">
            <w:pPr>
              <w:pStyle w:val="aa"/>
              <w:spacing w:before="0" w:beforeAutospacing="0" w:after="0" w:afterAutospacing="0"/>
              <w:jc w:val="both"/>
              <w:rPr>
                <w:sz w:val="28"/>
                <w:szCs w:val="28"/>
                <w:lang w:val="uk-UA"/>
              </w:rPr>
            </w:pPr>
            <w:r w:rsidRPr="00077561">
              <w:rPr>
                <w:sz w:val="28"/>
                <w:szCs w:val="28"/>
                <w:lang w:val="uk-UA"/>
              </w:rPr>
              <w:t>Позитивний</w:t>
            </w:r>
          </w:p>
        </w:tc>
        <w:tc>
          <w:tcPr>
            <w:tcW w:w="3827" w:type="dxa"/>
          </w:tcPr>
          <w:p w:rsidR="008E08F9" w:rsidRPr="00077561" w:rsidRDefault="008E08F9" w:rsidP="008E08F9">
            <w:pPr>
              <w:jc w:val="both"/>
              <w:rPr>
                <w:sz w:val="28"/>
                <w:szCs w:val="28"/>
                <w:lang w:val="uk-UA" w:eastAsia="uk-UA"/>
              </w:rPr>
            </w:pPr>
            <w:r w:rsidRPr="00077561">
              <w:rPr>
                <w:sz w:val="28"/>
                <w:szCs w:val="28"/>
                <w:lang w:val="uk-UA"/>
              </w:rPr>
              <w:t>Реалізація акта забезпечить можливість обов’язкової/добровільної реєстрації як платника ПДВ особи-нерезидента, а також анулювання такої реєстрації за спрощеною процедурою (віддалено в електронній формі на спеціально розробленому вебпорталі)</w:t>
            </w:r>
            <w:r w:rsidR="00077561" w:rsidRPr="00077561">
              <w:rPr>
                <w:sz w:val="28"/>
                <w:szCs w:val="28"/>
                <w:lang w:val="uk-UA"/>
              </w:rPr>
              <w:t>.</w:t>
            </w:r>
          </w:p>
        </w:tc>
      </w:tr>
    </w:tbl>
    <w:p w:rsidR="00ED7E5F" w:rsidRPr="00035468" w:rsidRDefault="00ED7E5F" w:rsidP="0035148B">
      <w:pPr>
        <w:tabs>
          <w:tab w:val="num" w:pos="-142"/>
          <w:tab w:val="num" w:pos="0"/>
          <w:tab w:val="left" w:pos="993"/>
        </w:tabs>
        <w:ind w:right="-2" w:firstLine="567"/>
        <w:jc w:val="both"/>
        <w:rPr>
          <w:b/>
          <w:bCs/>
          <w:sz w:val="28"/>
          <w:szCs w:val="28"/>
          <w:lang w:val="uk-UA"/>
        </w:rPr>
      </w:pPr>
    </w:p>
    <w:p w:rsidR="00ED7E5F" w:rsidRPr="00035468" w:rsidRDefault="00ED7E5F" w:rsidP="00ED7E5F">
      <w:pPr>
        <w:tabs>
          <w:tab w:val="num" w:pos="-142"/>
          <w:tab w:val="num" w:pos="0"/>
          <w:tab w:val="left" w:pos="993"/>
        </w:tabs>
        <w:ind w:right="-2" w:firstLine="567"/>
        <w:jc w:val="both"/>
        <w:rPr>
          <w:b/>
          <w:bCs/>
          <w:sz w:val="28"/>
          <w:szCs w:val="28"/>
          <w:lang w:val="uk-UA"/>
        </w:rPr>
      </w:pPr>
    </w:p>
    <w:p w:rsidR="00ED7E5F" w:rsidRPr="00035468" w:rsidRDefault="00ED7E5F" w:rsidP="00ED7E5F">
      <w:pPr>
        <w:tabs>
          <w:tab w:val="num" w:pos="-142"/>
          <w:tab w:val="num" w:pos="0"/>
          <w:tab w:val="left" w:pos="993"/>
        </w:tabs>
        <w:ind w:right="-2"/>
        <w:jc w:val="both"/>
        <w:rPr>
          <w:b/>
          <w:bCs/>
          <w:sz w:val="28"/>
          <w:szCs w:val="28"/>
          <w:lang w:val="uk-UA"/>
        </w:rPr>
      </w:pPr>
      <w:r w:rsidRPr="00035468">
        <w:rPr>
          <w:b/>
          <w:bCs/>
          <w:sz w:val="28"/>
          <w:szCs w:val="28"/>
          <w:lang w:val="uk-UA"/>
        </w:rPr>
        <w:t xml:space="preserve">Міністр фінансів України </w:t>
      </w:r>
      <w:r w:rsidRPr="00035468">
        <w:rPr>
          <w:b/>
          <w:bCs/>
          <w:sz w:val="28"/>
          <w:szCs w:val="28"/>
          <w:lang w:val="uk-UA"/>
        </w:rPr>
        <w:tab/>
      </w:r>
      <w:r w:rsidRPr="00035468">
        <w:rPr>
          <w:b/>
          <w:bCs/>
          <w:sz w:val="28"/>
          <w:szCs w:val="28"/>
          <w:lang w:val="uk-UA"/>
        </w:rPr>
        <w:tab/>
      </w:r>
      <w:r w:rsidRPr="00035468">
        <w:rPr>
          <w:b/>
          <w:bCs/>
          <w:sz w:val="28"/>
          <w:szCs w:val="28"/>
          <w:lang w:val="uk-UA"/>
        </w:rPr>
        <w:tab/>
      </w:r>
      <w:r w:rsidRPr="00035468">
        <w:rPr>
          <w:b/>
          <w:bCs/>
          <w:sz w:val="28"/>
          <w:szCs w:val="28"/>
          <w:lang w:val="uk-UA"/>
        </w:rPr>
        <w:tab/>
      </w:r>
      <w:r w:rsidRPr="00035468">
        <w:rPr>
          <w:b/>
          <w:bCs/>
          <w:sz w:val="28"/>
          <w:szCs w:val="28"/>
          <w:lang w:val="uk-UA"/>
        </w:rPr>
        <w:tab/>
      </w:r>
      <w:r w:rsidR="0035148B" w:rsidRPr="00035468">
        <w:rPr>
          <w:b/>
          <w:bCs/>
          <w:sz w:val="28"/>
          <w:szCs w:val="28"/>
          <w:lang w:val="uk-UA"/>
        </w:rPr>
        <w:t xml:space="preserve">         </w:t>
      </w:r>
      <w:r w:rsidRPr="00035468">
        <w:rPr>
          <w:b/>
          <w:bCs/>
          <w:sz w:val="28"/>
          <w:szCs w:val="28"/>
          <w:lang w:val="uk-UA"/>
        </w:rPr>
        <w:t>Сергій МАРЧЕНКО</w:t>
      </w:r>
    </w:p>
    <w:p w:rsidR="00ED7E5F" w:rsidRPr="00035468" w:rsidRDefault="00ED7E5F" w:rsidP="00ED7E5F">
      <w:pPr>
        <w:tabs>
          <w:tab w:val="left" w:pos="993"/>
        </w:tabs>
        <w:ind w:right="-2"/>
        <w:jc w:val="both"/>
        <w:rPr>
          <w:iCs/>
          <w:sz w:val="28"/>
          <w:szCs w:val="28"/>
          <w:lang w:val="uk-UA"/>
        </w:rPr>
      </w:pPr>
    </w:p>
    <w:p w:rsidR="00ED7E5F" w:rsidRDefault="00970192" w:rsidP="00ED7E5F">
      <w:pPr>
        <w:tabs>
          <w:tab w:val="left" w:pos="993"/>
        </w:tabs>
        <w:ind w:right="-2"/>
        <w:jc w:val="both"/>
        <w:rPr>
          <w:spacing w:val="-3"/>
          <w:sz w:val="28"/>
          <w:szCs w:val="28"/>
          <w:lang w:val="uk-UA"/>
        </w:rPr>
      </w:pPr>
      <w:r w:rsidRPr="00035468">
        <w:rPr>
          <w:spacing w:val="-3"/>
          <w:sz w:val="28"/>
          <w:szCs w:val="28"/>
          <w:lang w:val="uk-UA"/>
        </w:rPr>
        <w:t>____</w:t>
      </w:r>
      <w:r w:rsidR="00ED7E5F" w:rsidRPr="00035468">
        <w:rPr>
          <w:spacing w:val="-3"/>
          <w:sz w:val="28"/>
          <w:szCs w:val="28"/>
          <w:lang w:val="uk-UA"/>
        </w:rPr>
        <w:t xml:space="preserve">  </w:t>
      </w:r>
      <w:r w:rsidRPr="00035468">
        <w:rPr>
          <w:spacing w:val="-3"/>
          <w:sz w:val="28"/>
          <w:szCs w:val="28"/>
          <w:lang w:val="uk-UA"/>
        </w:rPr>
        <w:t>____________</w:t>
      </w:r>
      <w:r w:rsidR="00ED7E5F" w:rsidRPr="00035468">
        <w:rPr>
          <w:spacing w:val="-3"/>
          <w:sz w:val="28"/>
          <w:szCs w:val="28"/>
          <w:lang w:val="uk-UA"/>
        </w:rPr>
        <w:t xml:space="preserve"> 20</w:t>
      </w:r>
      <w:r w:rsidRPr="00035468">
        <w:rPr>
          <w:spacing w:val="-3"/>
          <w:sz w:val="28"/>
          <w:szCs w:val="28"/>
          <w:lang w:val="ru-RU"/>
        </w:rPr>
        <w:t>21</w:t>
      </w:r>
      <w:r w:rsidRPr="00035468">
        <w:rPr>
          <w:spacing w:val="-3"/>
          <w:sz w:val="28"/>
          <w:szCs w:val="28"/>
          <w:lang w:val="uk-UA"/>
        </w:rPr>
        <w:t xml:space="preserve"> року</w:t>
      </w:r>
    </w:p>
    <w:p w:rsidR="00077561" w:rsidRPr="00035468" w:rsidRDefault="00077561" w:rsidP="00ED7E5F">
      <w:pPr>
        <w:tabs>
          <w:tab w:val="left" w:pos="993"/>
        </w:tabs>
        <w:ind w:right="-2"/>
        <w:jc w:val="both"/>
        <w:rPr>
          <w:spacing w:val="-3"/>
          <w:sz w:val="28"/>
          <w:szCs w:val="28"/>
          <w:lang w:val="uk-UA"/>
        </w:rPr>
      </w:pPr>
    </w:p>
    <w:p w:rsidR="00ED7E5F" w:rsidRDefault="00ED7E5F" w:rsidP="00077561">
      <w:pPr>
        <w:tabs>
          <w:tab w:val="left" w:pos="993"/>
        </w:tabs>
        <w:ind w:right="-2"/>
        <w:jc w:val="both"/>
        <w:rPr>
          <w:spacing w:val="-3"/>
          <w:sz w:val="28"/>
          <w:szCs w:val="28"/>
          <w:lang w:val="uk-UA"/>
        </w:rPr>
      </w:pPr>
    </w:p>
    <w:p w:rsidR="00077561" w:rsidRPr="00035468" w:rsidRDefault="00077561" w:rsidP="00077561">
      <w:pPr>
        <w:tabs>
          <w:tab w:val="left" w:pos="993"/>
        </w:tabs>
        <w:ind w:right="-2"/>
        <w:jc w:val="both"/>
        <w:rPr>
          <w:bCs/>
          <w:i/>
          <w:sz w:val="28"/>
          <w:szCs w:val="28"/>
          <w:lang w:val="uk-UA"/>
        </w:rPr>
        <w:sectPr w:rsidR="00077561" w:rsidRPr="00035468" w:rsidSect="00077561">
          <w:headerReference w:type="default" r:id="rId8"/>
          <w:footerReference w:type="default" r:id="rId9"/>
          <w:type w:val="continuous"/>
          <w:pgSz w:w="11906" w:h="16838" w:code="9"/>
          <w:pgMar w:top="1134" w:right="567" w:bottom="1134" w:left="1701" w:header="709" w:footer="1134" w:gutter="0"/>
          <w:cols w:space="720"/>
          <w:titlePg/>
          <w:docGrid w:linePitch="272"/>
        </w:sectPr>
      </w:pPr>
    </w:p>
    <w:p w:rsidR="00B1488F" w:rsidRPr="00035468" w:rsidRDefault="00B1488F" w:rsidP="00077561">
      <w:pPr>
        <w:ind w:right="-173"/>
        <w:rPr>
          <w:lang w:val="uk-UA"/>
        </w:rPr>
      </w:pPr>
    </w:p>
    <w:sectPr w:rsidR="00B1488F" w:rsidRPr="00035468" w:rsidSect="0007756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9B" w:rsidRDefault="00ED7A9B">
      <w:r>
        <w:separator/>
      </w:r>
    </w:p>
  </w:endnote>
  <w:endnote w:type="continuationSeparator" w:id="0">
    <w:p w:rsidR="00ED7A9B" w:rsidRDefault="00ED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8D" w:rsidRDefault="00ED7A9B" w:rsidP="007A3680">
    <w:pPr>
      <w:pStyle w:val="a8"/>
      <w:framePr w:wrap="auto" w:vAnchor="text" w:hAnchor="margin" w:xAlign="right" w:y="1"/>
      <w:rPr>
        <w:rStyle w:val="a7"/>
      </w:rPr>
    </w:pPr>
  </w:p>
  <w:p w:rsidR="00197C8D" w:rsidRDefault="00ED7A9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ED7A9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ED7A9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ED7A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9B" w:rsidRDefault="00ED7A9B">
      <w:r>
        <w:separator/>
      </w:r>
    </w:p>
  </w:footnote>
  <w:footnote w:type="continuationSeparator" w:id="0">
    <w:p w:rsidR="00ED7A9B" w:rsidRDefault="00ED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292" w:rsidRPr="003E217C" w:rsidRDefault="0013277D" w:rsidP="008D3068">
    <w:pPr>
      <w:pStyle w:val="a5"/>
      <w:framePr w:wrap="auto" w:vAnchor="text" w:hAnchor="page" w:x="6202" w:y="13"/>
      <w:rPr>
        <w:rStyle w:val="a7"/>
        <w:sz w:val="28"/>
        <w:szCs w:val="28"/>
      </w:rPr>
    </w:pPr>
    <w:r w:rsidRPr="003E217C">
      <w:rPr>
        <w:rStyle w:val="a7"/>
        <w:sz w:val="28"/>
        <w:szCs w:val="28"/>
      </w:rPr>
      <w:fldChar w:fldCharType="begin"/>
    </w:r>
    <w:r w:rsidRPr="003E217C">
      <w:rPr>
        <w:rStyle w:val="a7"/>
        <w:sz w:val="28"/>
        <w:szCs w:val="28"/>
      </w:rPr>
      <w:instrText xml:space="preserve">PAGE  </w:instrText>
    </w:r>
    <w:r w:rsidRPr="003E217C">
      <w:rPr>
        <w:rStyle w:val="a7"/>
        <w:sz w:val="28"/>
        <w:szCs w:val="28"/>
      </w:rPr>
      <w:fldChar w:fldCharType="separate"/>
    </w:r>
    <w:r w:rsidR="00C16F11">
      <w:rPr>
        <w:rStyle w:val="a7"/>
        <w:noProof/>
        <w:sz w:val="28"/>
        <w:szCs w:val="28"/>
      </w:rPr>
      <w:t>6</w:t>
    </w:r>
    <w:r w:rsidRPr="003E217C">
      <w:rPr>
        <w:rStyle w:val="a7"/>
        <w:sz w:val="28"/>
        <w:szCs w:val="28"/>
      </w:rPr>
      <w:fldChar w:fldCharType="end"/>
    </w:r>
  </w:p>
  <w:p w:rsidR="00DF4292" w:rsidRDefault="00ED7A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ED7A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13277D">
    <w:pPr>
      <w:pStyle w:val="a5"/>
      <w:jc w:val="center"/>
      <w:rPr>
        <w:sz w:val="28"/>
        <w:szCs w:val="28"/>
      </w:rPr>
    </w:pPr>
    <w:r>
      <w:rPr>
        <w:sz w:val="28"/>
        <w:szCs w:val="28"/>
      </w:rPr>
      <w:t>2</w:t>
    </w:r>
  </w:p>
  <w:p w:rsidR="00F855B1" w:rsidRPr="00D912CE" w:rsidRDefault="00ED7A9B">
    <w:pPr>
      <w:pStyle w:val="a5"/>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B1" w:rsidRDefault="00ED7A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F4E"/>
    <w:multiLevelType w:val="hybridMultilevel"/>
    <w:tmpl w:val="D26AA5AC"/>
    <w:lvl w:ilvl="0" w:tplc="0FA0D3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FE635C0"/>
    <w:multiLevelType w:val="hybridMultilevel"/>
    <w:tmpl w:val="71A418C8"/>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5F"/>
    <w:rsid w:val="00035468"/>
    <w:rsid w:val="00077561"/>
    <w:rsid w:val="000E7772"/>
    <w:rsid w:val="0013277D"/>
    <w:rsid w:val="0025165C"/>
    <w:rsid w:val="002D087E"/>
    <w:rsid w:val="00303EDE"/>
    <w:rsid w:val="00320A43"/>
    <w:rsid w:val="0035148B"/>
    <w:rsid w:val="0038150E"/>
    <w:rsid w:val="003A1624"/>
    <w:rsid w:val="003A5DC3"/>
    <w:rsid w:val="003D5E6E"/>
    <w:rsid w:val="005455C4"/>
    <w:rsid w:val="005E3D19"/>
    <w:rsid w:val="00821879"/>
    <w:rsid w:val="00864390"/>
    <w:rsid w:val="008C7CC9"/>
    <w:rsid w:val="008E08F9"/>
    <w:rsid w:val="00970192"/>
    <w:rsid w:val="00997EC9"/>
    <w:rsid w:val="00A01308"/>
    <w:rsid w:val="00A7313D"/>
    <w:rsid w:val="00AD6AFE"/>
    <w:rsid w:val="00AF6C45"/>
    <w:rsid w:val="00B1488F"/>
    <w:rsid w:val="00B259C7"/>
    <w:rsid w:val="00B54420"/>
    <w:rsid w:val="00C16F11"/>
    <w:rsid w:val="00CC2042"/>
    <w:rsid w:val="00D02D7A"/>
    <w:rsid w:val="00ED7A9B"/>
    <w:rsid w:val="00ED7E5F"/>
    <w:rsid w:val="00F10AB8"/>
    <w:rsid w:val="00F757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2930E-80F2-42F1-85D2-D1C563E8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E5F"/>
    <w:pPr>
      <w:spacing w:after="0" w:line="240" w:lineRule="auto"/>
    </w:pPr>
    <w:rPr>
      <w:rFonts w:ascii="Times New Roman" w:eastAsia="Times New Roman" w:hAnsi="Times New Roman" w:cs="Times New Roman"/>
      <w:sz w:val="20"/>
      <w:szCs w:val="20"/>
      <w:lang w:val="en-US" w:eastAsia="ru-RU"/>
    </w:rPr>
  </w:style>
  <w:style w:type="paragraph" w:styleId="3">
    <w:name w:val="heading 3"/>
    <w:basedOn w:val="a"/>
    <w:next w:val="a"/>
    <w:link w:val="30"/>
    <w:uiPriority w:val="99"/>
    <w:qFormat/>
    <w:rsid w:val="00ED7E5F"/>
    <w:pPr>
      <w:keepNext/>
      <w:jc w:val="righ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D7E5F"/>
    <w:rPr>
      <w:rFonts w:ascii="Cambria" w:eastAsia="Times New Roman" w:hAnsi="Cambria" w:cs="Times New Roman"/>
      <w:b/>
      <w:bCs/>
      <w:sz w:val="26"/>
      <w:szCs w:val="26"/>
      <w:lang w:val="en-US" w:eastAsia="ru-RU"/>
    </w:rPr>
  </w:style>
  <w:style w:type="paragraph" w:styleId="2">
    <w:name w:val="Body Text 2"/>
    <w:basedOn w:val="a"/>
    <w:link w:val="20"/>
    <w:uiPriority w:val="99"/>
    <w:rsid w:val="00ED7E5F"/>
    <w:pPr>
      <w:ind w:right="-2" w:firstLine="567"/>
      <w:jc w:val="both"/>
    </w:pPr>
  </w:style>
  <w:style w:type="character" w:customStyle="1" w:styleId="20">
    <w:name w:val="Основний текст 2 Знак"/>
    <w:basedOn w:val="a0"/>
    <w:link w:val="2"/>
    <w:uiPriority w:val="99"/>
    <w:rsid w:val="00ED7E5F"/>
    <w:rPr>
      <w:rFonts w:ascii="Times New Roman" w:eastAsia="Times New Roman" w:hAnsi="Times New Roman" w:cs="Times New Roman"/>
      <w:sz w:val="20"/>
      <w:szCs w:val="20"/>
      <w:lang w:val="en-US" w:eastAsia="ru-RU"/>
    </w:rPr>
  </w:style>
  <w:style w:type="paragraph" w:styleId="a3">
    <w:name w:val="Body Text Indent"/>
    <w:basedOn w:val="a"/>
    <w:link w:val="a4"/>
    <w:uiPriority w:val="99"/>
    <w:rsid w:val="00ED7E5F"/>
    <w:pPr>
      <w:ind w:right="-483" w:firstLine="720"/>
      <w:jc w:val="both"/>
    </w:pPr>
  </w:style>
  <w:style w:type="character" w:customStyle="1" w:styleId="a4">
    <w:name w:val="Основний текст з відступом Знак"/>
    <w:basedOn w:val="a0"/>
    <w:link w:val="a3"/>
    <w:uiPriority w:val="99"/>
    <w:rsid w:val="00ED7E5F"/>
    <w:rPr>
      <w:rFonts w:ascii="Times New Roman" w:eastAsia="Times New Roman" w:hAnsi="Times New Roman" w:cs="Times New Roman"/>
      <w:sz w:val="20"/>
      <w:szCs w:val="20"/>
      <w:lang w:val="en-US" w:eastAsia="ru-RU"/>
    </w:rPr>
  </w:style>
  <w:style w:type="paragraph" w:styleId="a5">
    <w:name w:val="header"/>
    <w:basedOn w:val="a"/>
    <w:link w:val="a6"/>
    <w:uiPriority w:val="99"/>
    <w:rsid w:val="00ED7E5F"/>
    <w:pPr>
      <w:tabs>
        <w:tab w:val="center" w:pos="4153"/>
        <w:tab w:val="right" w:pos="8306"/>
      </w:tabs>
    </w:pPr>
  </w:style>
  <w:style w:type="character" w:customStyle="1" w:styleId="a6">
    <w:name w:val="Верхній колонтитул Знак"/>
    <w:basedOn w:val="a0"/>
    <w:link w:val="a5"/>
    <w:uiPriority w:val="99"/>
    <w:rsid w:val="00ED7E5F"/>
    <w:rPr>
      <w:rFonts w:ascii="Times New Roman" w:eastAsia="Times New Roman" w:hAnsi="Times New Roman" w:cs="Times New Roman"/>
      <w:sz w:val="20"/>
      <w:szCs w:val="20"/>
      <w:lang w:val="en-US" w:eastAsia="ru-RU"/>
    </w:rPr>
  </w:style>
  <w:style w:type="character" w:styleId="a7">
    <w:name w:val="page number"/>
    <w:basedOn w:val="a0"/>
    <w:uiPriority w:val="99"/>
    <w:rsid w:val="00ED7E5F"/>
  </w:style>
  <w:style w:type="paragraph" w:styleId="a8">
    <w:name w:val="footer"/>
    <w:basedOn w:val="a"/>
    <w:link w:val="a9"/>
    <w:uiPriority w:val="99"/>
    <w:rsid w:val="00ED7E5F"/>
    <w:pPr>
      <w:tabs>
        <w:tab w:val="center" w:pos="4153"/>
        <w:tab w:val="right" w:pos="8306"/>
      </w:tabs>
    </w:pPr>
  </w:style>
  <w:style w:type="character" w:customStyle="1" w:styleId="a9">
    <w:name w:val="Нижній колонтитул Знак"/>
    <w:basedOn w:val="a0"/>
    <w:link w:val="a8"/>
    <w:uiPriority w:val="99"/>
    <w:rsid w:val="00ED7E5F"/>
    <w:rPr>
      <w:rFonts w:ascii="Times New Roman" w:eastAsia="Times New Roman" w:hAnsi="Times New Roman" w:cs="Times New Roman"/>
      <w:sz w:val="20"/>
      <w:szCs w:val="20"/>
      <w:lang w:val="en-US" w:eastAsia="ru-RU"/>
    </w:rPr>
  </w:style>
  <w:style w:type="paragraph" w:styleId="aa">
    <w:name w:val="Normal (Web)"/>
    <w:aliases w:val="Обычный (Web),Обычный (веб) Знак,Знак1 Знак,Знак1 Знак Знак,Знак1 Знак Знак Знак Знак Знак Знак Знак,Знак1,Обычный (веб) Знак2,Обычный (веб) Знак1 Знак,Обычный (веб) Знак Знак Знак,Знак1 Знак1 Знак Знак Знак Знак"/>
    <w:basedOn w:val="a"/>
    <w:link w:val="ab"/>
    <w:uiPriority w:val="99"/>
    <w:rsid w:val="00ED7E5F"/>
    <w:pPr>
      <w:spacing w:before="100" w:beforeAutospacing="1" w:after="100" w:afterAutospacing="1"/>
    </w:pPr>
    <w:rPr>
      <w:sz w:val="24"/>
      <w:szCs w:val="24"/>
      <w:lang w:val="ru-RU"/>
    </w:rPr>
  </w:style>
  <w:style w:type="paragraph" w:styleId="ac">
    <w:name w:val="List Paragraph"/>
    <w:basedOn w:val="a"/>
    <w:uiPriority w:val="34"/>
    <w:qFormat/>
    <w:rsid w:val="00ED7E5F"/>
    <w:pPr>
      <w:ind w:left="720"/>
    </w:pPr>
    <w:rPr>
      <w:rFonts w:ascii="Calibri" w:eastAsia="Calibri" w:hAnsi="Calibri" w:cs="Calibri"/>
      <w:sz w:val="22"/>
      <w:szCs w:val="22"/>
      <w:lang w:val="ru-RU"/>
    </w:rPr>
  </w:style>
  <w:style w:type="paragraph" w:customStyle="1" w:styleId="StyleWisnow">
    <w:name w:val="StyleWisnow"/>
    <w:basedOn w:val="a"/>
    <w:rsid w:val="00ED7E5F"/>
    <w:pPr>
      <w:spacing w:line="220" w:lineRule="exact"/>
    </w:pPr>
    <w:rPr>
      <w:sz w:val="18"/>
      <w:lang w:val="uk-UA"/>
    </w:rPr>
  </w:style>
  <w:style w:type="paragraph" w:customStyle="1" w:styleId="1">
    <w:name w:val="Абзац списка1"/>
    <w:basedOn w:val="a"/>
    <w:rsid w:val="00ED7E5F"/>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ED7E5F"/>
    <w:pPr>
      <w:spacing w:before="100" w:beforeAutospacing="1" w:after="100" w:afterAutospacing="1"/>
    </w:pPr>
    <w:rPr>
      <w:sz w:val="24"/>
      <w:szCs w:val="24"/>
      <w:lang w:val="uk-UA" w:eastAsia="uk-UA"/>
    </w:rPr>
  </w:style>
  <w:style w:type="character" w:customStyle="1" w:styleId="ab">
    <w:name w:val="Звичайний (веб) Знак"/>
    <w:aliases w:val="Обычный (Web) Знак,Обычный (веб) Знак Знак,Знак1 Знак Знак1,Знак1 Знак Знак Знак,Знак1 Знак Знак Знак Знак Знак Знак Знак Знак,Знак1 Знак1,Обычный (веб) Знак2 Знак,Обычный (веб) Знак1 Знак Знак,Обычный (веб) Знак Знак Знак Знак"/>
    <w:link w:val="aa"/>
    <w:uiPriority w:val="99"/>
    <w:rsid w:val="00ED7E5F"/>
    <w:rPr>
      <w:rFonts w:ascii="Times New Roman" w:eastAsia="Times New Roman" w:hAnsi="Times New Roman" w:cs="Times New Roman"/>
      <w:sz w:val="24"/>
      <w:szCs w:val="24"/>
      <w:lang w:val="ru-RU" w:eastAsia="ru-RU"/>
    </w:rPr>
  </w:style>
  <w:style w:type="character" w:customStyle="1" w:styleId="CharStyle3">
    <w:name w:val="Char Style 3"/>
    <w:basedOn w:val="a0"/>
    <w:link w:val="Style2"/>
    <w:rsid w:val="00A01308"/>
    <w:rPr>
      <w:sz w:val="28"/>
      <w:szCs w:val="28"/>
      <w:shd w:val="clear" w:color="auto" w:fill="FFFFFF"/>
    </w:rPr>
  </w:style>
  <w:style w:type="paragraph" w:customStyle="1" w:styleId="Style2">
    <w:name w:val="Style 2"/>
    <w:basedOn w:val="a"/>
    <w:link w:val="CharStyle3"/>
    <w:rsid w:val="00A01308"/>
    <w:pPr>
      <w:widowControl w:val="0"/>
      <w:shd w:val="clear" w:color="auto" w:fill="FFFFFF"/>
      <w:spacing w:after="120" w:line="0" w:lineRule="atLeast"/>
      <w:jc w:val="center"/>
    </w:pPr>
    <w:rPr>
      <w:rFonts w:asciiTheme="minorHAnsi" w:eastAsiaTheme="minorHAnsi" w:hAnsiTheme="minorHAnsi" w:cstheme="minorBidi"/>
      <w:sz w:val="28"/>
      <w:szCs w:val="28"/>
      <w:lang w:val="uk-UA" w:eastAsia="en-US"/>
    </w:rPr>
  </w:style>
  <w:style w:type="paragraph" w:styleId="ad">
    <w:name w:val="Balloon Text"/>
    <w:basedOn w:val="a"/>
    <w:link w:val="ae"/>
    <w:uiPriority w:val="99"/>
    <w:semiHidden/>
    <w:unhideWhenUsed/>
    <w:rsid w:val="00035468"/>
    <w:rPr>
      <w:rFonts w:ascii="Segoe UI" w:hAnsi="Segoe UI" w:cs="Segoe UI"/>
      <w:sz w:val="18"/>
      <w:szCs w:val="18"/>
    </w:rPr>
  </w:style>
  <w:style w:type="character" w:customStyle="1" w:styleId="ae">
    <w:name w:val="Текст у виносці Знак"/>
    <w:basedOn w:val="a0"/>
    <w:link w:val="ad"/>
    <w:uiPriority w:val="99"/>
    <w:semiHidden/>
    <w:rsid w:val="00035468"/>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9A17-31B1-4539-8F3E-C959EB15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9041</Words>
  <Characters>5154</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 Маргарита Сергіївна</dc:creator>
  <cp:keywords/>
  <dc:description/>
  <cp:lastModifiedBy>Жук Маргарита Сергіївна</cp:lastModifiedBy>
  <cp:revision>2</cp:revision>
  <cp:lastPrinted>2021-10-07T13:29:00Z</cp:lastPrinted>
  <dcterms:created xsi:type="dcterms:W3CDTF">2021-10-08T08:50:00Z</dcterms:created>
  <dcterms:modified xsi:type="dcterms:W3CDTF">2021-10-08T08:50:00Z</dcterms:modified>
</cp:coreProperties>
</file>