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A8" w:rsidRPr="0073611F" w:rsidRDefault="009803A8" w:rsidP="009803A8">
      <w:pPr>
        <w:spacing w:after="0" w:line="240" w:lineRule="auto"/>
        <w:ind w:left="4820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ЗАТВЕРДЖЕНО</w:t>
      </w:r>
    </w:p>
    <w:p w:rsidR="009803A8" w:rsidRPr="0073611F" w:rsidRDefault="009803A8" w:rsidP="009803A8">
      <w:pPr>
        <w:spacing w:after="0" w:line="240" w:lineRule="auto"/>
        <w:ind w:left="4820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Наказ Міністерства фінансів України</w:t>
      </w:r>
    </w:p>
    <w:p w:rsidR="009803A8" w:rsidRPr="0073611F" w:rsidRDefault="009803A8" w:rsidP="009803A8">
      <w:pPr>
        <w:spacing w:after="0" w:line="240" w:lineRule="auto"/>
        <w:ind w:left="482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9803A8" w:rsidRPr="0073611F" w:rsidRDefault="009803A8" w:rsidP="009803A8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9803A8" w:rsidRPr="0073611F" w:rsidRDefault="009803A8" w:rsidP="009803A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9803A8" w:rsidRPr="0073611F" w:rsidRDefault="009803A8" w:rsidP="009803A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9803A8" w:rsidRPr="0073611F" w:rsidRDefault="009803A8" w:rsidP="009803A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9803A8" w:rsidRPr="0073611F" w:rsidRDefault="009803A8" w:rsidP="009803A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0442B8" w:rsidRPr="0073611F" w:rsidRDefault="000442B8" w:rsidP="009803A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666F2" w:rsidRPr="0073611F" w:rsidRDefault="00A666F2" w:rsidP="009803A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83232C" w:rsidRPr="0073611F" w:rsidRDefault="0083232C" w:rsidP="009803A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666F2" w:rsidRPr="0073611F" w:rsidRDefault="00A666F2" w:rsidP="009803A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666F2" w:rsidRPr="0073611F" w:rsidRDefault="00A666F2" w:rsidP="009803A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803A8" w:rsidRPr="0073611F" w:rsidRDefault="009803A8" w:rsidP="009803A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b/>
          <w:color w:val="000000" w:themeColor="text1"/>
          <w:sz w:val="28"/>
          <w:szCs w:val="28"/>
        </w:rPr>
        <w:t>Зміни</w:t>
      </w:r>
    </w:p>
    <w:p w:rsidR="00176B9A" w:rsidRPr="0073611F" w:rsidRDefault="009803A8" w:rsidP="00176B9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b/>
          <w:color w:val="000000" w:themeColor="text1"/>
          <w:sz w:val="28"/>
          <w:szCs w:val="28"/>
        </w:rPr>
        <w:t>до форми Податкової декларації з податку на прибуток підприємств</w:t>
      </w:r>
    </w:p>
    <w:p w:rsidR="007C55C3" w:rsidRPr="0073611F" w:rsidRDefault="00FA061A" w:rsidP="00176B9A">
      <w:pPr>
        <w:spacing w:after="0" w:line="360" w:lineRule="auto"/>
        <w:ind w:left="-284" w:firstLine="992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1. У Декларації</w:t>
      </w:r>
      <w:r w:rsidR="007C55C3" w:rsidRPr="0073611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76B9A" w:rsidRPr="0073611F" w:rsidRDefault="00EB28E7" w:rsidP="00FA6984">
      <w:pPr>
        <w:spacing w:after="0" w:line="360" w:lineRule="auto"/>
        <w:ind w:left="-284" w:firstLine="992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176B9A" w:rsidRPr="0073611F">
        <w:rPr>
          <w:rFonts w:ascii="Times New Roman" w:hAnsi="Times New Roman"/>
          <w:color w:val="000000" w:themeColor="text1"/>
          <w:sz w:val="28"/>
          <w:szCs w:val="28"/>
        </w:rPr>
        <w:t>рядок за кодом 26 викласти в такій редакції:</w:t>
      </w:r>
    </w:p>
    <w:p w:rsidR="00176B9A" w:rsidRPr="0073611F" w:rsidRDefault="00176B9A" w:rsidP="00176B9A">
      <w:pPr>
        <w:spacing w:after="0" w:line="360" w:lineRule="auto"/>
        <w:ind w:left="-426" w:hanging="141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  «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5"/>
        <w:gridCol w:w="709"/>
        <w:gridCol w:w="709"/>
      </w:tblGrid>
      <w:tr w:rsidR="0073611F" w:rsidRPr="0073611F" w:rsidTr="0083232C">
        <w:trPr>
          <w:trHeight w:val="606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73611F" w:rsidRDefault="00176B9A" w:rsidP="0083232C">
            <w:pPr>
              <w:spacing w:after="60" w:line="360" w:lineRule="auto"/>
              <w:ind w:firstLine="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Збільшення (зменшення) податкового зобов’язання звітного (податкового) періоду, що уточнюється (позитивне (від’ємне) значення (рядок 19 – рядок 19 Податкової декларації з податку на прибуток підприємств, яка уточнюється, або рядок  35 –  рядок 35 Податкової декларації з податку на прибуток підприємств, яка уточнюється))</w:t>
            </w:r>
            <w:r w:rsidR="007E4596"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або рядок 26 таблиці 2 додатка ВП до рядків 26-29, 31-33, 35 Податкової декларації з податку на прибуток підприємств  (+, 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73611F" w:rsidRDefault="00176B9A" w:rsidP="00FC0E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73611F" w:rsidRDefault="00176B9A" w:rsidP="00FC0E1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76B9A" w:rsidRPr="0073611F" w:rsidRDefault="00176B9A" w:rsidP="00176B9A">
      <w:pPr>
        <w:spacing w:after="0" w:line="360" w:lineRule="auto"/>
        <w:ind w:left="-284" w:firstLine="94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         »;</w:t>
      </w:r>
    </w:p>
    <w:p w:rsidR="00176B9A" w:rsidRPr="0073611F" w:rsidRDefault="00FA6984" w:rsidP="00176B9A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385C5B" w:rsidRPr="0073611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B28E7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ісля рядка за кодом 34 </w:t>
      </w:r>
      <w:r w:rsidR="00176B9A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доповнити 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новими </w:t>
      </w:r>
      <w:r w:rsidR="00EB28E7" w:rsidRPr="0073611F">
        <w:rPr>
          <w:rFonts w:ascii="Times New Roman" w:hAnsi="Times New Roman"/>
          <w:color w:val="000000" w:themeColor="text1"/>
          <w:sz w:val="28"/>
          <w:szCs w:val="28"/>
        </w:rPr>
        <w:t>рядками</w:t>
      </w:r>
      <w:r w:rsidR="00176B9A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 такого змісту:</w:t>
      </w:r>
    </w:p>
    <w:p w:rsidR="00176B9A" w:rsidRPr="0073611F" w:rsidRDefault="00176B9A" w:rsidP="00176B9A">
      <w:pPr>
        <w:spacing w:after="0" w:line="360" w:lineRule="auto"/>
        <w:ind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5"/>
        <w:gridCol w:w="671"/>
        <w:gridCol w:w="747"/>
      </w:tblGrid>
      <w:tr w:rsidR="0073611F" w:rsidRPr="0073611F" w:rsidTr="00176B9A">
        <w:trPr>
          <w:trHeight w:val="737"/>
        </w:trPr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73611F" w:rsidRDefault="00176B9A" w:rsidP="0083232C">
            <w:pPr>
              <w:spacing w:after="60" w:line="360" w:lineRule="auto"/>
              <w:ind w:firstLine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Податкові зобов’язання, інші штрафні санкції та пені, визначені відповідно до Податкового кодексу України, не пов’язані з виправленням помилок</w:t>
            </w:r>
          </w:p>
        </w:tc>
      </w:tr>
      <w:tr w:rsidR="0073611F" w:rsidRPr="0073611F" w:rsidTr="00FC0E11">
        <w:trPr>
          <w:trHeight w:val="606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73611F" w:rsidRDefault="00176B9A" w:rsidP="0083232C">
            <w:pPr>
              <w:spacing w:after="60" w:line="360" w:lineRule="auto"/>
              <w:ind w:firstLine="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Сума збільшення податкового зобов’язання за порушення вимог цільового використання вивільнених від оподаткування коштів відповідно </w:t>
            </w:r>
            <w:r w:rsidR="00FA6984"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</w:t>
            </w: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пунктів 142.1 - 142.3 статті 142 розділу ІІІ, пункту 41 підрозділу 4 розділу ХХ Податкового кодексу України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73611F" w:rsidRDefault="00176B9A" w:rsidP="00FC0E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73611F" w:rsidRDefault="00176B9A" w:rsidP="00FC0E1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3611F" w:rsidRPr="0073611F" w:rsidTr="00FC0E11">
        <w:trPr>
          <w:trHeight w:val="606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73611F" w:rsidRDefault="00176B9A" w:rsidP="0083232C">
            <w:pPr>
              <w:spacing w:after="60" w:line="360" w:lineRule="auto"/>
              <w:ind w:firstLine="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Штрафні санкції за порушення положень пункту 41 підрозділу 4 розділу ХХ Податкового кодексу України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73611F" w:rsidRDefault="00176B9A" w:rsidP="00FC0E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73611F" w:rsidRDefault="00176B9A" w:rsidP="00FC0E1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3611F" w:rsidRPr="0073611F" w:rsidTr="00FC0E11">
        <w:trPr>
          <w:trHeight w:val="207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73611F" w:rsidRDefault="00176B9A" w:rsidP="00C45804">
            <w:pPr>
              <w:spacing w:after="60" w:line="360" w:lineRule="auto"/>
              <w:ind w:firstLine="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Пеня, нарахована на виконання вимог статті 123</w:t>
            </w:r>
            <w:r w:rsidR="00C45804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глави 11 розділу ІІ, пунктів 142.1 – 142.3 статті 142 розділу ІІІ, пункту 41 підрозділу 4 розділу ХХ Податкового кодексу України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73611F" w:rsidRDefault="00176B9A" w:rsidP="00FC0E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73611F" w:rsidRDefault="00176B9A" w:rsidP="00FC0E1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76B9A" w:rsidRPr="0073611F" w:rsidRDefault="00176B9A" w:rsidP="00176B9A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»</w:t>
      </w:r>
      <w:r w:rsidR="005B19C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C55C3" w:rsidRPr="0073611F" w:rsidRDefault="00FA6984" w:rsidP="009803A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B28E7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7C55C3" w:rsidRPr="0073611F">
        <w:rPr>
          <w:rFonts w:ascii="Times New Roman" w:hAnsi="Times New Roman"/>
          <w:color w:val="000000" w:themeColor="text1"/>
          <w:sz w:val="28"/>
          <w:szCs w:val="28"/>
        </w:rPr>
        <w:t>позицію:</w:t>
      </w:r>
    </w:p>
    <w:p w:rsidR="007C55C3" w:rsidRPr="0073611F" w:rsidRDefault="007C55C3" w:rsidP="00FC0E11">
      <w:pPr>
        <w:spacing w:after="0" w:line="240" w:lineRule="auto"/>
        <w:ind w:left="-709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pPr w:leftFromText="180" w:rightFromText="180" w:vertAnchor="text" w:horzAnchor="margin" w:tblpX="-367" w:tblpY="24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850"/>
        <w:gridCol w:w="851"/>
        <w:gridCol w:w="709"/>
        <w:gridCol w:w="850"/>
        <w:gridCol w:w="913"/>
        <w:gridCol w:w="850"/>
        <w:gridCol w:w="851"/>
        <w:gridCol w:w="930"/>
        <w:gridCol w:w="850"/>
        <w:gridCol w:w="1163"/>
      </w:tblGrid>
      <w:tr w:rsidR="0073611F" w:rsidRPr="0073611F" w:rsidTr="003D5F43">
        <w:trPr>
          <w:trHeight w:val="30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3D5F43">
            <w:pPr>
              <w:ind w:left="-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Наявність додатків</w:t>
            </w: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ТЦ</w:t>
            </w: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ФЗ</w:t>
            </w: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12</w:t>
            </w:r>
          </w:p>
        </w:tc>
      </w:tr>
      <w:tr w:rsidR="0073611F" w:rsidRPr="0073611F" w:rsidTr="003D5F43">
        <w:trPr>
          <w:trHeight w:val="22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C3" w:rsidRPr="0073611F" w:rsidRDefault="007C55C3" w:rsidP="008323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C55C3" w:rsidRPr="0073611F" w:rsidRDefault="007C55C3" w:rsidP="00012844">
      <w:pPr>
        <w:spacing w:after="0" w:line="360" w:lineRule="auto"/>
        <w:ind w:firstLine="878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176B9A" w:rsidRPr="0073611F" w:rsidRDefault="00C301F4" w:rsidP="00176B9A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викласти в такій редакції</w:t>
      </w:r>
      <w:r w:rsidR="00176B9A" w:rsidRPr="0073611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301F4" w:rsidRPr="0073611F" w:rsidRDefault="00C301F4" w:rsidP="00FC0E11">
      <w:pPr>
        <w:spacing w:after="0" w:line="240" w:lineRule="auto"/>
        <w:ind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pPr w:vertAnchor="text" w:horzAnchor="margin" w:tblpX="-384" w:tblpY="24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"/>
        <w:gridCol w:w="708"/>
        <w:gridCol w:w="567"/>
        <w:gridCol w:w="709"/>
        <w:gridCol w:w="709"/>
        <w:gridCol w:w="567"/>
        <w:gridCol w:w="567"/>
        <w:gridCol w:w="709"/>
        <w:gridCol w:w="708"/>
        <w:gridCol w:w="709"/>
        <w:gridCol w:w="709"/>
        <w:gridCol w:w="1134"/>
        <w:gridCol w:w="992"/>
      </w:tblGrid>
      <w:tr w:rsidR="0073611F" w:rsidRPr="0073611F" w:rsidTr="003D5F43">
        <w:trPr>
          <w:trHeight w:val="30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ind w:left="-120" w:hanging="2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Наявність додатків</w:t>
            </w: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 xml:space="preserve">10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ind w:hanging="14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АВ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ind w:right="-113" w:hanging="10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ТЦ</w:t>
            </w: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ind w:hanging="10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ФЗ</w:t>
            </w: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12</w:t>
            </w:r>
          </w:p>
        </w:tc>
      </w:tr>
      <w:tr w:rsidR="0073611F" w:rsidRPr="0073611F" w:rsidTr="003D5F43">
        <w:trPr>
          <w:trHeight w:val="22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44" w:rsidRPr="0073611F" w:rsidRDefault="00012844" w:rsidP="003D5F4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ind w:left="33" w:right="-526" w:hanging="5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П(С)БО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73611F" w:rsidRDefault="00012844" w:rsidP="003D5F43">
            <w:pPr>
              <w:ind w:hanging="11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МСФЗ</w:t>
            </w:r>
          </w:p>
        </w:tc>
      </w:tr>
      <w:tr w:rsidR="0073611F" w:rsidRPr="0073611F" w:rsidTr="00A21768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68" w:rsidRPr="0073611F" w:rsidRDefault="00A21768" w:rsidP="003D5F4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73611F" w:rsidRDefault="00A21768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73611F" w:rsidRDefault="00A21768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73611F" w:rsidRDefault="00A21768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73611F" w:rsidRDefault="00A21768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73611F" w:rsidRDefault="00A21768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73611F" w:rsidRDefault="00A21768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73611F" w:rsidRDefault="00A21768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73611F" w:rsidRDefault="00A21768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73611F" w:rsidRDefault="00A21768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73611F" w:rsidRDefault="00A21768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73611F" w:rsidRDefault="00A21768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73611F" w:rsidRDefault="00A21768" w:rsidP="003D5F4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301F4" w:rsidRPr="0073611F" w:rsidRDefault="00C301F4" w:rsidP="009803A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110B3" w:rsidRPr="0073611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03A8" w:rsidRPr="0073611F" w:rsidRDefault="00FA061A" w:rsidP="003C7CAF">
      <w:pPr>
        <w:spacing w:after="0" w:line="360" w:lineRule="auto"/>
        <w:ind w:right="14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9803A8" w:rsidRPr="0073611F">
        <w:rPr>
          <w:rFonts w:ascii="Times New Roman" w:hAnsi="Times New Roman"/>
          <w:color w:val="000000" w:themeColor="text1"/>
          <w:sz w:val="28"/>
          <w:szCs w:val="28"/>
        </w:rPr>
        <w:t>У додатках до Декларації:</w:t>
      </w:r>
    </w:p>
    <w:p w:rsidR="00BF31BF" w:rsidRPr="0073611F" w:rsidRDefault="009803A8" w:rsidP="003C7CAF">
      <w:pPr>
        <w:spacing w:after="0" w:line="360" w:lineRule="auto"/>
        <w:ind w:right="14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B4911" w:rsidRPr="0073611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A6B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4911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додатку ПН до рядка 23 ПН </w:t>
      </w:r>
      <w:r w:rsidR="00FA6984" w:rsidRPr="0073611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>екларації</w:t>
      </w:r>
      <w:r w:rsidR="00BF31BF" w:rsidRPr="0073611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A6984" w:rsidRPr="0073611F" w:rsidRDefault="00E61ADB" w:rsidP="00EB28E7">
      <w:pPr>
        <w:spacing w:after="0" w:line="360" w:lineRule="auto"/>
        <w:ind w:right="14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назву </w:t>
      </w:r>
      <w:r w:rsidR="002C2C6C" w:rsidRPr="0073611F">
        <w:rPr>
          <w:rFonts w:ascii="Times New Roman" w:hAnsi="Times New Roman"/>
          <w:color w:val="000000" w:themeColor="text1"/>
          <w:sz w:val="28"/>
          <w:szCs w:val="28"/>
        </w:rPr>
        <w:t>ряд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>ка</w:t>
      </w:r>
      <w:r w:rsidR="002C2C6C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 «Повне найменування нерезидента» 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>викласти в такій редакції:</w:t>
      </w:r>
      <w:r w:rsidR="00EB28E7" w:rsidRPr="0073611F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E61ADB" w:rsidRPr="0073611F" w:rsidRDefault="00E61ADB" w:rsidP="00EB28E7">
      <w:pPr>
        <w:spacing w:after="0" w:line="360" w:lineRule="auto"/>
        <w:ind w:right="14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«Повне найменування нерезидента</w:t>
      </w:r>
      <w:r w:rsidRPr="0073611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FA6984" w:rsidRPr="0073611F" w:rsidRDefault="00E61ADB" w:rsidP="00EB28E7">
      <w:pPr>
        <w:spacing w:after="0" w:line="360" w:lineRule="auto"/>
        <w:ind w:right="14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назву рядка </w:t>
      </w:r>
      <w:r w:rsidR="002C2C6C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«Місцезнаходження нерезидента» 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>викласти в такій редакції:</w:t>
      </w:r>
      <w:r w:rsidR="00EB28E7" w:rsidRPr="0073611F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E61ADB" w:rsidRPr="0073611F" w:rsidRDefault="00E61ADB" w:rsidP="00EB28E7">
      <w:pPr>
        <w:spacing w:after="0" w:line="360" w:lineRule="auto"/>
        <w:ind w:right="14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«Місцезнаходження нерезидента</w:t>
      </w:r>
      <w:r w:rsidRPr="0073611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EB28E7" w:rsidRPr="0073611F" w:rsidRDefault="00930F89" w:rsidP="003C7CAF">
      <w:pPr>
        <w:spacing w:after="0" w:line="360" w:lineRule="auto"/>
        <w:ind w:right="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рядок за кодом 12 виключити. </w:t>
      </w:r>
    </w:p>
    <w:p w:rsidR="00930F89" w:rsidRPr="0073611F" w:rsidRDefault="00930F89" w:rsidP="00EB28E7">
      <w:pPr>
        <w:spacing w:after="0" w:line="360" w:lineRule="auto"/>
        <w:ind w:right="14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У зв’язку з цим рядки за кодами 13 – 28 вважати </w:t>
      </w:r>
      <w:r w:rsidR="00EB28E7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>рядками за кодами 12 – 27;</w:t>
      </w:r>
    </w:p>
    <w:p w:rsidR="00BF31BF" w:rsidRPr="0073611F" w:rsidRDefault="00FA6984" w:rsidP="003C7CAF">
      <w:pPr>
        <w:spacing w:after="0" w:line="360" w:lineRule="auto"/>
        <w:ind w:right="14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виноску </w:t>
      </w:r>
      <w:r w:rsidR="002C2C6C" w:rsidRPr="0073611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C2C6C" w:rsidRPr="0073611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2C2C6C" w:rsidRPr="0073611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61ADB" w:rsidRPr="0073611F">
        <w:rPr>
          <w:rFonts w:ascii="Times New Roman" w:hAnsi="Times New Roman"/>
          <w:color w:val="000000" w:themeColor="text1"/>
          <w:sz w:val="28"/>
          <w:szCs w:val="28"/>
        </w:rPr>
        <w:t>викласти  в</w:t>
      </w:r>
      <w:r w:rsidR="00817244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 такій редакції:</w:t>
      </w:r>
    </w:p>
    <w:p w:rsidR="003B4911" w:rsidRPr="0073611F" w:rsidRDefault="003B4911" w:rsidP="003C7CAF">
      <w:pPr>
        <w:spacing w:after="0" w:line="360" w:lineRule="auto"/>
        <w:ind w:right="14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3611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Повне найменування нерезидента, місцезнаходження нерезидента, </w:t>
      </w:r>
      <w:r w:rsidR="00FA6984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що 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>зазначені у контракті/договорі.</w:t>
      </w:r>
    </w:p>
    <w:p w:rsidR="003B4911" w:rsidRPr="0073611F" w:rsidRDefault="003B4911" w:rsidP="003C7CAF">
      <w:pPr>
        <w:spacing w:after="0" w:line="360" w:lineRule="auto"/>
        <w:ind w:right="14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Назва країни резиденції нерезидента, код країни резиденції – відповідно до </w:t>
      </w:r>
      <w:r w:rsidR="002209BC" w:rsidRPr="0073611F">
        <w:rPr>
          <w:rFonts w:ascii="Times New Roman" w:hAnsi="Times New Roman"/>
          <w:color w:val="000000" w:themeColor="text1"/>
          <w:sz w:val="28"/>
          <w:szCs w:val="28"/>
        </w:rPr>
        <w:t>Статистичної к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ласифікації країн світу, затвердженої наказом Державної служби 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lastRenderedPageBreak/>
        <w:t>статистики України від 30 грудня 2013 року № 426</w:t>
      </w:r>
      <w:r w:rsidR="00F063E3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 (із змінами)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, або назва </w:t>
      </w:r>
      <w:r w:rsidR="007534CA">
        <w:rPr>
          <w:rFonts w:ascii="Times New Roman" w:hAnsi="Times New Roman"/>
          <w:color w:val="000000" w:themeColor="text1"/>
          <w:sz w:val="28"/>
          <w:szCs w:val="28"/>
        </w:rPr>
        <w:t>вільної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 економічної зони</w:t>
      </w:r>
      <w:r w:rsidR="00FA6984" w:rsidRPr="0073611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60ACB" w:rsidRPr="0073611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30F89" w:rsidRPr="0073611F" w:rsidRDefault="00930F89" w:rsidP="003C7CAF">
      <w:pPr>
        <w:spacing w:after="0" w:line="360" w:lineRule="auto"/>
        <w:ind w:right="14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="00FA6984" w:rsidRPr="0073611F">
        <w:rPr>
          <w:rFonts w:ascii="Times New Roman" w:hAnsi="Times New Roman"/>
          <w:color w:val="000000" w:themeColor="text1"/>
          <w:sz w:val="28"/>
          <w:szCs w:val="28"/>
        </w:rPr>
        <w:t>виносці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73611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5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>» цифри «28» замінити цифрами «27»;</w:t>
      </w:r>
    </w:p>
    <w:p w:rsidR="00303558" w:rsidRPr="0073611F" w:rsidRDefault="00461991" w:rsidP="003C7CAF">
      <w:pPr>
        <w:spacing w:after="0" w:line="360" w:lineRule="auto"/>
        <w:ind w:right="141" w:firstLine="708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9A6B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0F89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="00225453" w:rsidRPr="0073611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25453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одатк</w:t>
      </w:r>
      <w:r w:rsidR="00930F89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у</w:t>
      </w:r>
      <w:r w:rsidR="00225453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 ВП до рядків 26</w:t>
      </w:r>
      <w:r w:rsidR="00560ACB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 –</w:t>
      </w:r>
      <w:r w:rsidR="00225453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 29, 31 – 33 </w:t>
      </w:r>
      <w:r w:rsidR="00FA6984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Д</w:t>
      </w:r>
      <w:r w:rsidR="00225453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екларації</w:t>
      </w:r>
      <w:r w:rsidR="00303558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:</w:t>
      </w:r>
    </w:p>
    <w:p w:rsidR="00930F89" w:rsidRPr="0073611F" w:rsidRDefault="00EB28E7" w:rsidP="00EB28E7">
      <w:pPr>
        <w:pStyle w:val="1"/>
        <w:tabs>
          <w:tab w:val="left" w:pos="0"/>
          <w:tab w:val="left" w:pos="4845"/>
        </w:tabs>
        <w:spacing w:before="0" w:beforeAutospacing="0" w:after="0" w:afterAutospacing="0" w:line="360" w:lineRule="auto"/>
        <w:ind w:right="141" w:firstLine="709"/>
        <w:jc w:val="both"/>
        <w:rPr>
          <w:color w:val="000000" w:themeColor="text1"/>
          <w:sz w:val="28"/>
          <w:szCs w:val="28"/>
        </w:rPr>
      </w:pPr>
      <w:r w:rsidRPr="0073611F">
        <w:rPr>
          <w:color w:val="000000" w:themeColor="text1"/>
          <w:sz w:val="28"/>
          <w:szCs w:val="28"/>
        </w:rPr>
        <w:t xml:space="preserve">відмітку після цифр «33» </w:t>
      </w:r>
      <w:r w:rsidR="00FA6984" w:rsidRPr="0073611F">
        <w:rPr>
          <w:color w:val="000000" w:themeColor="text1"/>
          <w:sz w:val="28"/>
          <w:szCs w:val="28"/>
        </w:rPr>
        <w:t xml:space="preserve">доповнити </w:t>
      </w:r>
      <w:r w:rsidRPr="0073611F">
        <w:rPr>
          <w:color w:val="000000" w:themeColor="text1"/>
          <w:sz w:val="28"/>
          <w:szCs w:val="28"/>
        </w:rPr>
        <w:t>цифрами «, 35»;</w:t>
      </w:r>
    </w:p>
    <w:p w:rsidR="00272F0D" w:rsidRPr="0073611F" w:rsidRDefault="003C7CAF" w:rsidP="00272F0D">
      <w:pPr>
        <w:spacing w:after="0" w:line="360" w:lineRule="auto"/>
        <w:ind w:right="141" w:firstLine="708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</w:pPr>
      <w:r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таблицю 1 «Врахування помилки(ок) у звітному (податковому) періоді, наступному за періодом, за який виявлено помилку» доповнити </w:t>
      </w:r>
      <w:r w:rsidR="00FA6984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новим </w:t>
      </w:r>
      <w:r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рядком за кодом 35 такого змісту:</w:t>
      </w:r>
    </w:p>
    <w:p w:rsidR="00272F0D" w:rsidRPr="0073611F" w:rsidRDefault="00272F0D" w:rsidP="00272F0D">
      <w:pPr>
        <w:spacing w:after="0" w:line="360" w:lineRule="auto"/>
        <w:ind w:right="141" w:hanging="567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</w:pPr>
      <w:r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«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5"/>
        <w:gridCol w:w="709"/>
        <w:gridCol w:w="709"/>
      </w:tblGrid>
      <w:tr w:rsidR="0073611F" w:rsidRPr="0073611F" w:rsidTr="00FC0E11">
        <w:trPr>
          <w:trHeight w:val="1822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73611F" w:rsidRDefault="003C7CAF" w:rsidP="00FA6984">
            <w:pPr>
              <w:spacing w:after="60" w:line="360" w:lineRule="auto"/>
              <w:ind w:firstLine="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Сума збільшення податкового зобов’язання за порушення вимог цільового використання вивільнених від оподаткування коштів відповідно пунктів 142.1 – 142.3 статті 142 розділу ІІІ, пункту 41 підрозділу 4 розділу ХХ Податкового кодексу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73611F" w:rsidRDefault="003C7CAF" w:rsidP="003C7CAF">
            <w:pPr>
              <w:spacing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73611F" w:rsidRDefault="003C7CAF" w:rsidP="003C7CAF">
            <w:pPr>
              <w:spacing w:after="6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C7CAF" w:rsidRPr="0073611F" w:rsidRDefault="00272F0D" w:rsidP="00272F0D">
      <w:pPr>
        <w:spacing w:after="0" w:line="360" w:lineRule="auto"/>
        <w:ind w:right="-142" w:firstLine="708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</w:pPr>
      <w:r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»;</w:t>
      </w:r>
    </w:p>
    <w:p w:rsidR="00FA6984" w:rsidRPr="0073611F" w:rsidRDefault="00FA6984" w:rsidP="00272F0D">
      <w:pPr>
        <w:spacing w:after="0" w:line="360" w:lineRule="auto"/>
        <w:ind w:right="14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назву таблиці</w:t>
      </w:r>
      <w:r w:rsidR="00272F0D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 2 викласти в такій редакції:</w:t>
      </w:r>
    </w:p>
    <w:p w:rsidR="00272F0D" w:rsidRPr="0073611F" w:rsidRDefault="00272F0D" w:rsidP="00272F0D">
      <w:pPr>
        <w:spacing w:after="0" w:line="360" w:lineRule="auto"/>
        <w:ind w:right="14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«Таблиця 2. Результати виправлення помилок(ки)»;</w:t>
      </w:r>
    </w:p>
    <w:p w:rsidR="00272F0D" w:rsidRPr="0073611F" w:rsidRDefault="00272F0D" w:rsidP="00272F0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рядок за кодом 26 викласти в такій редакції:</w:t>
      </w:r>
    </w:p>
    <w:p w:rsidR="00272F0D" w:rsidRPr="0073611F" w:rsidRDefault="00272F0D" w:rsidP="00272F0D">
      <w:pPr>
        <w:spacing w:after="0" w:line="360" w:lineRule="auto"/>
        <w:ind w:left="-426" w:hanging="141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5"/>
        <w:gridCol w:w="709"/>
        <w:gridCol w:w="709"/>
      </w:tblGrid>
      <w:tr w:rsidR="0073611F" w:rsidRPr="0073611F" w:rsidTr="00FC0E11">
        <w:trPr>
          <w:trHeight w:val="606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D" w:rsidRPr="0073611F" w:rsidRDefault="00272F0D" w:rsidP="0083232C">
            <w:pPr>
              <w:spacing w:after="60" w:line="360" w:lineRule="auto"/>
              <w:ind w:firstLine="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Збільшення (зменшення) податкового зобов’язання звітного (податкового) періоду, що уточнюється (позитивне (від’ємне) значення (рядок 19 – рядок 19  Податкової декларації з податку на прибуток підприємств, яка уточнюється,  або рядок 35 – рядок 35 Податкової декларації з податку на прибуток підприємств, яка уточнюється) (переноситься до рядка 26 Податкової декларації з податку на прибуток підприємств (звітної/звітної нової)))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D" w:rsidRPr="0073611F" w:rsidRDefault="00272F0D" w:rsidP="00FC0E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D" w:rsidRPr="0073611F" w:rsidRDefault="00272F0D" w:rsidP="00FC0E1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72F0D" w:rsidRPr="0073611F" w:rsidRDefault="00272F0D" w:rsidP="00272F0D">
      <w:pPr>
        <w:spacing w:after="0" w:line="360" w:lineRule="auto"/>
        <w:ind w:right="-142" w:firstLine="708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</w:pPr>
      <w:r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»;</w:t>
      </w:r>
    </w:p>
    <w:p w:rsidR="00303558" w:rsidRPr="0073611F" w:rsidRDefault="00E02569" w:rsidP="003C7CAF">
      <w:pPr>
        <w:spacing w:after="0" w:line="360" w:lineRule="auto"/>
        <w:ind w:right="141" w:firstLine="708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д</w:t>
      </w:r>
      <w:r w:rsidR="00F7365D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оповнити</w:t>
      </w:r>
      <w:r w:rsidR="00FA6984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 новою</w:t>
      </w:r>
      <w:r w:rsidR="009A6B9A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5D6C18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т</w:t>
      </w:r>
      <w:r w:rsidR="00303558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аблицею</w:t>
      </w:r>
      <w:r w:rsidR="009A6B9A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7C55C3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такого змісту</w:t>
      </w:r>
      <w:r w:rsidR="005D6C18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:</w:t>
      </w:r>
    </w:p>
    <w:p w:rsidR="0097148C" w:rsidRPr="009A6B9A" w:rsidRDefault="007C55C3" w:rsidP="0083232C">
      <w:pPr>
        <w:spacing w:after="0" w:line="360" w:lineRule="auto"/>
        <w:ind w:right="141" w:firstLine="708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</w:pPr>
      <w:r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«Таблиця 3. Наявність </w:t>
      </w:r>
      <w:r w:rsidR="00A3659C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п</w:t>
      </w:r>
      <w:r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оданих до Податкової декларації з податку на прибуток підприємств додатків</w:t>
      </w:r>
      <w:r w:rsidR="004B41D1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 – </w:t>
      </w:r>
      <w:r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форм фінансової звітності за звітний (податковий) період, що уточнюється</w:t>
      </w:r>
      <w:r w:rsidR="00272F0D" w:rsidRPr="0073611F">
        <w:rPr>
          <w:rFonts w:ascii="Times New Roman" w:eastAsiaTheme="minorEastAsia" w:hAnsi="Times New Roman"/>
          <w:color w:val="000000" w:themeColor="text1"/>
          <w:sz w:val="28"/>
          <w:szCs w:val="28"/>
          <w:vertAlign w:val="superscript"/>
          <w:lang w:eastAsia="uk-UA"/>
        </w:rPr>
        <w:t>9</w:t>
      </w:r>
    </w:p>
    <w:tbl>
      <w:tblPr>
        <w:tblpPr w:leftFromText="180" w:rightFromText="180" w:vertAnchor="text" w:horzAnchor="margin" w:tblpX="-284" w:tblpY="13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275"/>
        <w:gridCol w:w="1134"/>
        <w:gridCol w:w="993"/>
        <w:gridCol w:w="1417"/>
        <w:gridCol w:w="851"/>
        <w:gridCol w:w="1275"/>
        <w:gridCol w:w="993"/>
        <w:gridCol w:w="1275"/>
      </w:tblGrid>
      <w:tr w:rsidR="0073611F" w:rsidRPr="0073611F" w:rsidTr="004B41D1">
        <w:trPr>
          <w:trHeight w:val="155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Баланс (Звіт про фінанс</w:t>
            </w:r>
            <w:r w:rsidR="007E4596" w:rsidRPr="00736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-вий стан)</w:t>
            </w: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val="ru-RU"/>
              </w:rPr>
              <w:t>1</w:t>
            </w:r>
            <w:r w:rsidR="00272F0D" w:rsidRPr="0073611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Звіт про фінансові результати (Звіт про сукупний дохід)</w:t>
            </w: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val="ru-RU"/>
              </w:rPr>
              <w:t>1</w:t>
            </w:r>
            <w:r w:rsidR="00272F0D" w:rsidRPr="0073611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Звіт про рух грошових коштів</w:t>
            </w: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val="ru-RU"/>
              </w:rPr>
              <w:t>1</w:t>
            </w:r>
            <w:r w:rsidR="00272F0D" w:rsidRPr="0073611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val="ru-RU"/>
              </w:rPr>
              <w:t>0</w:t>
            </w:r>
          </w:p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Звіт про власний капітал</w:t>
            </w: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val="ru-RU"/>
              </w:rPr>
              <w:t>1</w:t>
            </w:r>
            <w:r w:rsidR="00272F0D" w:rsidRPr="0073611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Примітки до річної фінансової звітності</w:t>
            </w: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val="ru-RU"/>
              </w:rPr>
              <w:t>1</w:t>
            </w:r>
            <w:r w:rsidR="00272F0D" w:rsidRPr="0073611F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Фінансовий звіт суб’єкта малого підприємництва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Спрощений фінансовий звіт суб’єкта малого підприємництва</w:t>
            </w:r>
          </w:p>
        </w:tc>
      </w:tr>
      <w:tr w:rsidR="0073611F" w:rsidRPr="0073611F" w:rsidTr="004B41D1">
        <w:trPr>
          <w:trHeight w:val="83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Баланс</w:t>
            </w:r>
          </w:p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4B41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Звіт про фінансові результати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Баланс</w:t>
            </w:r>
          </w:p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4B41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Звіт про фінансові результати</w:t>
            </w:r>
          </w:p>
        </w:tc>
      </w:tr>
      <w:tr w:rsidR="0073611F" w:rsidRPr="0073611F" w:rsidTr="004B41D1">
        <w:trPr>
          <w:trHeight w:val="2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73611F" w:rsidRDefault="007C55C3" w:rsidP="008323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03558" w:rsidRPr="0073611F" w:rsidRDefault="00263EEA" w:rsidP="00272F0D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</w:pPr>
      <w:r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ab/>
      </w:r>
      <w:r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ab/>
      </w:r>
      <w:r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ab/>
      </w:r>
      <w:r w:rsidR="00B16397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ab/>
      </w:r>
      <w:r w:rsidR="00B16397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ab/>
      </w:r>
      <w:r w:rsidR="00E11462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ab/>
        <w:t>»;</w:t>
      </w:r>
    </w:p>
    <w:p w:rsidR="00272F0D" w:rsidRPr="0073611F" w:rsidRDefault="00385C5B" w:rsidP="009803A8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</w:pPr>
      <w:r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виноску</w:t>
      </w:r>
      <w:r w:rsidR="00272F0D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 «</w:t>
      </w:r>
      <w:r w:rsidR="00272F0D" w:rsidRPr="0073611F">
        <w:rPr>
          <w:rFonts w:ascii="Times New Roman" w:eastAsiaTheme="minorEastAsia" w:hAnsi="Times New Roman"/>
          <w:color w:val="000000" w:themeColor="text1"/>
          <w:sz w:val="28"/>
          <w:szCs w:val="28"/>
          <w:vertAlign w:val="superscript"/>
          <w:lang w:eastAsia="uk-UA"/>
        </w:rPr>
        <w:t>9</w:t>
      </w:r>
      <w:r w:rsidR="00272F0D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» викласти в такій редакції:</w:t>
      </w:r>
    </w:p>
    <w:p w:rsidR="00272F0D" w:rsidRPr="0073611F" w:rsidRDefault="00272F0D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3611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9 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>Подається відповідно до пункту 46.2 статті 46 розділу І Податкового кодексу України разом з Податковою декларацією з податку на прибуток підприємств з урахуванням вимог статті 137 розділу ІІІ Податкового кодексу України. Фінансова звітність, що складається платниками податку на прибуток, є додатком до Податкової декларації з податку на прибуток підприємств та її невід’ємною частиною. У відповідних клітинках проставляється позначка «+».»;</w:t>
      </w:r>
    </w:p>
    <w:p w:rsidR="003B4911" w:rsidRPr="0073611F" w:rsidRDefault="00272F0D" w:rsidP="00272F0D">
      <w:pPr>
        <w:spacing w:after="0" w:line="360" w:lineRule="auto"/>
        <w:ind w:right="141" w:firstLine="708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</w:pPr>
      <w:r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д</w:t>
      </w:r>
      <w:r w:rsidR="00CE0128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оповнити</w:t>
      </w:r>
      <w:r w:rsidR="007C55C3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 додаток</w:t>
      </w:r>
      <w:r w:rsidR="00B2186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385C5B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новою виноскою</w:t>
      </w:r>
      <w:r w:rsidR="00E61ADB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 «</w:t>
      </w:r>
      <w:r w:rsidR="00E61ADB" w:rsidRPr="0073611F">
        <w:rPr>
          <w:rFonts w:ascii="Times New Roman" w:eastAsiaTheme="minorEastAsia" w:hAnsi="Times New Roman"/>
          <w:color w:val="000000" w:themeColor="text1"/>
          <w:sz w:val="28"/>
          <w:szCs w:val="28"/>
          <w:vertAlign w:val="superscript"/>
          <w:lang w:eastAsia="uk-UA"/>
        </w:rPr>
        <w:t>10</w:t>
      </w:r>
      <w:r w:rsidR="00E61ADB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»</w:t>
      </w:r>
      <w:r w:rsidR="00B2186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7C55C3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такого змісту</w:t>
      </w:r>
      <w:r w:rsidR="00DB64ED" w:rsidRPr="0073611F">
        <w:rPr>
          <w:rFonts w:ascii="Times New Roman" w:eastAsiaTheme="minorEastAsia" w:hAnsi="Times New Roman"/>
          <w:color w:val="000000" w:themeColor="text1"/>
          <w:sz w:val="28"/>
          <w:szCs w:val="28"/>
          <w:lang w:eastAsia="uk-UA"/>
        </w:rPr>
        <w:t>:</w:t>
      </w:r>
    </w:p>
    <w:p w:rsidR="00303558" w:rsidRPr="0073611F" w:rsidRDefault="00272F0D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03558" w:rsidRPr="0073611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EB28E7" w:rsidRPr="0073611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0</w:t>
      </w:r>
      <w:r w:rsidR="00B2186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303558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Банки подають фінансову звітність за формами відповідно до постанови Правління Національного банку України від 24 жовтня 2011 року № 373 «Про затвердження Інструкції про порядок складання та оприлюднення фінансової звітності банків України», зареєстрованої в Міністерстві юстиції України </w:t>
      </w:r>
      <w:r w:rsidR="00D45C32" w:rsidRPr="0073611F">
        <w:rPr>
          <w:rFonts w:ascii="Times New Roman" w:hAnsi="Times New Roman"/>
          <w:color w:val="000000" w:themeColor="text1"/>
          <w:sz w:val="28"/>
          <w:szCs w:val="28"/>
        </w:rPr>
        <w:br/>
      </w:r>
      <w:r w:rsidR="00303558" w:rsidRPr="0073611F">
        <w:rPr>
          <w:rFonts w:ascii="Times New Roman" w:hAnsi="Times New Roman"/>
          <w:color w:val="000000" w:themeColor="text1"/>
          <w:sz w:val="28"/>
          <w:szCs w:val="28"/>
        </w:rPr>
        <w:t>10 листопада 2011 року за № 1288/20026 (із змінами).</w:t>
      </w:r>
      <w:r w:rsidR="00DB64ED" w:rsidRPr="0073611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A011B" w:rsidRPr="0073611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E3B34" w:rsidRPr="0073611F" w:rsidRDefault="00AA011B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831466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>додатк</w:t>
      </w:r>
      <w:r w:rsidR="00831466" w:rsidRPr="0073611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218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3B34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РІ до рядка 03 РІ </w:t>
      </w:r>
      <w:r w:rsidR="00385C5B" w:rsidRPr="0073611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0E3B34" w:rsidRPr="0073611F">
        <w:rPr>
          <w:rFonts w:ascii="Times New Roman" w:hAnsi="Times New Roman"/>
          <w:color w:val="000000" w:themeColor="text1"/>
          <w:sz w:val="28"/>
          <w:szCs w:val="28"/>
        </w:rPr>
        <w:t>екларації:</w:t>
      </w:r>
    </w:p>
    <w:p w:rsidR="00CE0128" w:rsidRPr="0073611F" w:rsidRDefault="00E61ADB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у розділі 3 «Різниці, які виникають при здійсненні фінансових операцій (стаття 140 розділу ІІІ Податкового кодексу України)»</w:t>
      </w:r>
      <w:r w:rsidR="00CE0128" w:rsidRPr="0073611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61ADB" w:rsidRPr="0073611F" w:rsidRDefault="00E61ADB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графу «назва різниці» за код</w:t>
      </w:r>
      <w:r w:rsidR="00CE0128" w:rsidRPr="0073611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>м рядк</w:t>
      </w:r>
      <w:r w:rsidR="00CE0128" w:rsidRPr="0073611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 3.1.6 викласти в такій редакції:</w:t>
      </w:r>
    </w:p>
    <w:p w:rsidR="00CE0128" w:rsidRPr="0073611F" w:rsidRDefault="00CE0128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«Сума 30 відсотків вартості товарів, у тому числі необоротних активів (крім активів з права користування за договорами оренди), робіт та послуг, придбаних у неприбуткових організацій, внесених до Реєстру неприбуткових установ та організацій на дату такого придбання, крім випадків, коли сума вартості товарів, у тому числі необоротних активів (крім активів з права користування за договорами оренди), робіт та послуг, придбаних у таких організацій, сукупно протягом 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звітного (податкового) року не перевищує 25 розмірів мінімальної заробітної плати, встановленої законом на </w:t>
      </w:r>
      <w:r w:rsidR="00385C5B" w:rsidRPr="0073611F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 січня звітного (податкового) року, та крім бюджетних установ Накопичувального фонду, недержавних пенсійних фондів і неприбуткової організації, яка є об'єднанням страховиків, якщо участь страховика у такому об'єднанні є умовою проведення діяльності такого страховика відповідно до закону (підпункт 140.5.4 пункту 140.5 статті 140 розділу ІІІ Податкового кодексу України)»;</w:t>
      </w:r>
    </w:p>
    <w:p w:rsidR="00CE0128" w:rsidRPr="0073611F" w:rsidRDefault="00CE0128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графу «назва різниці» за кодом рядка 3.1.6.1 викласти в такій редакції:</w:t>
      </w:r>
    </w:p>
    <w:p w:rsidR="00CE0128" w:rsidRPr="0073611F" w:rsidRDefault="00CE0128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«Сума 30 відсотків вартості товарів, у тому числі необоротних активів (крім активів з права користування за договорами оренди), робіт та послуг, придбаних у нерезидентів (у тому числі пов'язаних осіб – нерезидентів), зареєстрованих у державах (на територіях), включених до переліку держав (територій), затвердженого Кабінетом Міністрів України відповідно до підпункту 39.2.1.2 підпункту 39.2.1 пункту 39.2 статті 39 розділу І Податкового кодексу України (підпункт 140.5.4 пункту 140.5 статті 140 розділу ІІІ Податкового кодексу України)»;</w:t>
      </w:r>
    </w:p>
    <w:p w:rsidR="00CE0128" w:rsidRPr="0073611F" w:rsidRDefault="00CE0128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графу «назва різниці» за кодом рядка 3.1.6.2 викласти в такій редакції:</w:t>
      </w:r>
    </w:p>
    <w:p w:rsidR="00CE0128" w:rsidRPr="0073611F" w:rsidRDefault="00CE0128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«Сума 30 відсотків вартості товарів, у тому числі необоротних активів (крім активів з права користування за договорами оренди), робіт та послуг, придбаних у нерезидентів, організаційно-правова форма яких включена до переліку, затвердженого Кабінетом Міністрів України відповідно до підпункту «г» підпункту 39.2.1.1 підпункту 39.2.1 пункту 39.2 статті 39 розділу І Податкового кодексу України, які не сплачують податок на прибуток (корпоративний податок), у тому числі податок з доходів, отриманих за межами держави реєстрації таких нерезидентів, та/або не є податковими резидентами держави, в якій вони зареєстровані як юридичні особи (підпункт 140.5.4 пункту 140.5 статті 140 розділу ІІІ Податкового кодексу України)»;</w:t>
      </w:r>
    </w:p>
    <w:p w:rsidR="00CE0128" w:rsidRPr="0073611F" w:rsidRDefault="00CE0128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графу «назва різниці» за кодом рядка 3.1.7 викласти в такій редакції:</w:t>
      </w:r>
    </w:p>
    <w:p w:rsidR="00CE0128" w:rsidRPr="0073611F" w:rsidRDefault="00CE0128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«Розмір різниці між вартістю придбання товарів, у тому числі необоротних активів (крім активів з права користування за договорами оренди), робіт, послуг та вартістю, визначеною виходячи з рівня ціни, визначеної за принципом 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lastRenderedPageBreak/>
        <w:t>«витягнутої руки» (підпункт 140.5.4 пункту 140.5 статті 140 розділу ІІІ Податкового кодексу України)»</w:t>
      </w:r>
      <w:r w:rsidR="00272F0D" w:rsidRPr="0073611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72F0D" w:rsidRPr="0073611F" w:rsidRDefault="00AF2535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підрозділ «Інші різниці» </w:t>
      </w:r>
      <w:r w:rsidR="00E61ADB" w:rsidRPr="0073611F">
        <w:rPr>
          <w:rFonts w:ascii="Times New Roman" w:hAnsi="Times New Roman"/>
          <w:color w:val="000000" w:themeColor="text1"/>
          <w:sz w:val="28"/>
          <w:szCs w:val="28"/>
        </w:rPr>
        <w:t>розділ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56183" w:rsidRPr="0073611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218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6183" w:rsidRPr="0073611F">
        <w:rPr>
          <w:rFonts w:ascii="Times New Roman" w:hAnsi="Times New Roman"/>
          <w:color w:val="000000" w:themeColor="text1"/>
          <w:sz w:val="28"/>
          <w:szCs w:val="28"/>
        </w:rPr>
        <w:t>«Інші різниці (</w:t>
      </w:r>
      <w:r w:rsidR="00E61ADB" w:rsidRPr="0073611F">
        <w:rPr>
          <w:rFonts w:ascii="Times New Roman" w:hAnsi="Times New Roman"/>
          <w:color w:val="000000" w:themeColor="text1"/>
          <w:sz w:val="28"/>
          <w:szCs w:val="28"/>
        </w:rPr>
        <w:t>стаття 14</w:t>
      </w:r>
      <w:r w:rsidR="00556183" w:rsidRPr="0073611F">
        <w:rPr>
          <w:rFonts w:ascii="Times New Roman" w:hAnsi="Times New Roman"/>
          <w:color w:val="000000" w:themeColor="text1"/>
          <w:sz w:val="28"/>
          <w:szCs w:val="28"/>
        </w:rPr>
        <w:t>1 розділу ІІІ, стаття 39 розділу І, стаття 123</w:t>
      </w:r>
      <w:r w:rsidR="00556183" w:rsidRPr="0073611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556183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 розділу ІІ, підрозділ 4 розділу ХХ</w:t>
      </w:r>
      <w:r w:rsidR="00E61ADB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 Податкового кодексу України)»</w:t>
      </w:r>
      <w:r w:rsidR="00B218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>доповнити новим рядк</w:t>
      </w:r>
      <w:r w:rsidR="00820F25" w:rsidRPr="0073611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="000072CA" w:rsidRPr="0073611F">
        <w:rPr>
          <w:rFonts w:ascii="Times New Roman" w:hAnsi="Times New Roman"/>
          <w:color w:val="000000" w:themeColor="text1"/>
          <w:sz w:val="28"/>
          <w:szCs w:val="28"/>
        </w:rPr>
        <w:t>такого змісту:</w:t>
      </w:r>
    </w:p>
    <w:p w:rsidR="000072CA" w:rsidRPr="0073611F" w:rsidRDefault="000072CA" w:rsidP="00272F0D">
      <w:pPr>
        <w:spacing w:after="0" w:line="360" w:lineRule="auto"/>
        <w:ind w:left="-142" w:right="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Style w:val="a7"/>
        <w:tblW w:w="0" w:type="auto"/>
        <w:tblInd w:w="-147" w:type="dxa"/>
        <w:tblLook w:val="04A0"/>
      </w:tblPr>
      <w:tblGrid>
        <w:gridCol w:w="986"/>
        <w:gridCol w:w="5223"/>
        <w:gridCol w:w="850"/>
        <w:gridCol w:w="851"/>
        <w:gridCol w:w="1276"/>
        <w:gridCol w:w="850"/>
      </w:tblGrid>
      <w:tr w:rsidR="0073611F" w:rsidRPr="0073611F" w:rsidTr="004B41D1">
        <w:tc>
          <w:tcPr>
            <w:tcW w:w="986" w:type="dxa"/>
          </w:tcPr>
          <w:p w:rsidR="00AF2535" w:rsidRPr="0073611F" w:rsidRDefault="00AF2535" w:rsidP="000072C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4.1.4.1</w:t>
            </w:r>
          </w:p>
        </w:tc>
        <w:tc>
          <w:tcPr>
            <w:tcW w:w="5223" w:type="dxa"/>
          </w:tcPr>
          <w:p w:rsidR="00AF2535" w:rsidRPr="0073611F" w:rsidRDefault="00AF2535" w:rsidP="00385C5B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Позитивна різниця між сумою будь-яких виплат (винагород) страховим посередникам та іншим особам за надані послуги щодо укладання (пролонгації) договорів страхування та сумою нормативу витрат на виплати страховим посередникам, </w:t>
            </w:r>
            <w:r w:rsidR="00385C5B"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що розраховані</w:t>
            </w: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 методикою, визначеною уповноваженим органом, що здійснює державне регулювання у сфері ринків фінансових послуг, за погодженням з центральним органом виконавчої влади, що забезпечує формування та реалізує державну фінансову політику (підпункт 141.1.3 пункту 141.1 статті 141 розділу ІІІ Податкового кодексу України)</w:t>
            </w:r>
          </w:p>
        </w:tc>
        <w:tc>
          <w:tcPr>
            <w:tcW w:w="850" w:type="dxa"/>
          </w:tcPr>
          <w:p w:rsidR="00AF2535" w:rsidRPr="0073611F" w:rsidRDefault="00AF2535" w:rsidP="000072C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AF2535" w:rsidRPr="0073611F" w:rsidRDefault="00AF2535" w:rsidP="00AF253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AF2535" w:rsidRPr="0073611F" w:rsidRDefault="00AF2535" w:rsidP="00AF253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AF2535" w:rsidRPr="0073611F" w:rsidRDefault="00AF2535" w:rsidP="00AF253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</w:t>
            </w:r>
          </w:p>
        </w:tc>
      </w:tr>
    </w:tbl>
    <w:p w:rsidR="000072CA" w:rsidRPr="0073611F" w:rsidRDefault="000072CA" w:rsidP="000072CA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B65A8" w:rsidRPr="0073611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110B3" w:rsidRPr="0073611F" w:rsidRDefault="00657579" w:rsidP="007110B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color w:val="000000" w:themeColor="text1"/>
          <w:sz w:val="28"/>
        </w:rPr>
        <w:t xml:space="preserve">3. </w:t>
      </w:r>
      <w:r w:rsidR="007110B3" w:rsidRPr="0073611F">
        <w:rPr>
          <w:rFonts w:ascii="Times New Roman" w:hAnsi="Times New Roman"/>
          <w:color w:val="000000" w:themeColor="text1"/>
          <w:sz w:val="28"/>
        </w:rPr>
        <w:t>Д</w:t>
      </w:r>
      <w:r w:rsidR="007110B3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оповнити </w:t>
      </w:r>
      <w:r w:rsidR="00556183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декларацію </w:t>
      </w:r>
      <w:r w:rsidR="00385C5B" w:rsidRPr="0073611F">
        <w:rPr>
          <w:rFonts w:ascii="Times New Roman" w:hAnsi="Times New Roman"/>
          <w:color w:val="000000" w:themeColor="text1"/>
          <w:sz w:val="28"/>
          <w:szCs w:val="28"/>
        </w:rPr>
        <w:t xml:space="preserve">новим </w:t>
      </w:r>
      <w:r w:rsidR="007110B3" w:rsidRPr="0073611F">
        <w:rPr>
          <w:rFonts w:ascii="Times New Roman" w:hAnsi="Times New Roman"/>
          <w:color w:val="000000" w:themeColor="text1"/>
          <w:sz w:val="28"/>
          <w:szCs w:val="28"/>
        </w:rPr>
        <w:t>додатком ПП, що додається.</w:t>
      </w:r>
    </w:p>
    <w:p w:rsidR="000072CA" w:rsidRPr="0073611F" w:rsidRDefault="000072CA" w:rsidP="005D797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803A8" w:rsidRPr="0073611F" w:rsidRDefault="009803A8" w:rsidP="009803A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b/>
          <w:color w:val="000000" w:themeColor="text1"/>
          <w:sz w:val="28"/>
          <w:szCs w:val="28"/>
        </w:rPr>
        <w:t>В.о. директора Департаменту</w:t>
      </w:r>
    </w:p>
    <w:p w:rsidR="0083232C" w:rsidRPr="0073611F" w:rsidRDefault="009803A8" w:rsidP="00365E1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1F">
        <w:rPr>
          <w:rFonts w:ascii="Times New Roman" w:hAnsi="Times New Roman"/>
          <w:b/>
          <w:color w:val="000000" w:themeColor="text1"/>
          <w:sz w:val="28"/>
          <w:szCs w:val="28"/>
        </w:rPr>
        <w:t>податкової політики</w:t>
      </w:r>
      <w:r w:rsidR="00B218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3232C" w:rsidRPr="007361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 нагляду </w:t>
      </w:r>
    </w:p>
    <w:p w:rsidR="00A456B6" w:rsidRPr="0073611F" w:rsidRDefault="0083232C" w:rsidP="00365E14">
      <w:pPr>
        <w:spacing w:after="0" w:line="240" w:lineRule="auto"/>
        <w:jc w:val="both"/>
        <w:rPr>
          <w:color w:val="000000" w:themeColor="text1"/>
        </w:rPr>
      </w:pPr>
      <w:r w:rsidRPr="0073611F">
        <w:rPr>
          <w:rFonts w:ascii="Times New Roman" w:hAnsi="Times New Roman"/>
          <w:b/>
          <w:color w:val="000000" w:themeColor="text1"/>
          <w:sz w:val="28"/>
          <w:szCs w:val="28"/>
        </w:rPr>
        <w:t>за фіскальними органами</w:t>
      </w:r>
      <w:r w:rsidR="009803A8" w:rsidRPr="0073611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803A8" w:rsidRPr="0073611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803A8" w:rsidRPr="0073611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803A8" w:rsidRPr="0073611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803A8" w:rsidRPr="0073611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803A8" w:rsidRPr="0073611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73611F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9803A8" w:rsidRPr="0073611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556183" w:rsidRPr="007361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П. </w:t>
      </w:r>
      <w:r w:rsidRPr="0073611F">
        <w:rPr>
          <w:rFonts w:ascii="Times New Roman" w:hAnsi="Times New Roman"/>
          <w:b/>
          <w:color w:val="000000" w:themeColor="text1"/>
          <w:sz w:val="28"/>
          <w:szCs w:val="28"/>
        </w:rPr>
        <w:t>Овчаренко</w:t>
      </w:r>
    </w:p>
    <w:sectPr w:rsidR="00A456B6" w:rsidRPr="0073611F" w:rsidSect="00176B9A">
      <w:headerReference w:type="default" r:id="rId7"/>
      <w:pgSz w:w="11906" w:h="16838"/>
      <w:pgMar w:top="426" w:right="282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B34" w:rsidRDefault="008E0B34" w:rsidP="00B16397">
      <w:pPr>
        <w:spacing w:after="0" w:line="240" w:lineRule="auto"/>
      </w:pPr>
      <w:r>
        <w:separator/>
      </w:r>
    </w:p>
  </w:endnote>
  <w:endnote w:type="continuationSeparator" w:id="1">
    <w:p w:rsidR="008E0B34" w:rsidRDefault="008E0B34" w:rsidP="00B1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B34" w:rsidRDefault="008E0B34" w:rsidP="00B16397">
      <w:pPr>
        <w:spacing w:after="0" w:line="240" w:lineRule="auto"/>
      </w:pPr>
      <w:r>
        <w:separator/>
      </w:r>
    </w:p>
  </w:footnote>
  <w:footnote w:type="continuationSeparator" w:id="1">
    <w:p w:rsidR="008E0B34" w:rsidRDefault="008E0B34" w:rsidP="00B1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7584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E31AF" w:rsidRPr="00B16397" w:rsidRDefault="00D8610A">
        <w:pPr>
          <w:pStyle w:val="a3"/>
          <w:jc w:val="center"/>
          <w:rPr>
            <w:rFonts w:ascii="Times New Roman" w:hAnsi="Times New Roman"/>
          </w:rPr>
        </w:pPr>
        <w:r w:rsidRPr="00B16397">
          <w:rPr>
            <w:rFonts w:ascii="Times New Roman" w:hAnsi="Times New Roman"/>
          </w:rPr>
          <w:fldChar w:fldCharType="begin"/>
        </w:r>
        <w:r w:rsidR="003E31AF" w:rsidRPr="00B16397">
          <w:rPr>
            <w:rFonts w:ascii="Times New Roman" w:hAnsi="Times New Roman"/>
          </w:rPr>
          <w:instrText xml:space="preserve"> PAGE   \* MERGEFORMAT </w:instrText>
        </w:r>
        <w:r w:rsidRPr="00B16397">
          <w:rPr>
            <w:rFonts w:ascii="Times New Roman" w:hAnsi="Times New Roman"/>
          </w:rPr>
          <w:fldChar w:fldCharType="separate"/>
        </w:r>
        <w:r w:rsidR="00C163E9">
          <w:rPr>
            <w:rFonts w:ascii="Times New Roman" w:hAnsi="Times New Roman"/>
            <w:noProof/>
          </w:rPr>
          <w:t>6</w:t>
        </w:r>
        <w:r w:rsidRPr="00B16397">
          <w:rPr>
            <w:rFonts w:ascii="Times New Roman" w:hAnsi="Times New Roman"/>
          </w:rPr>
          <w:fldChar w:fldCharType="end"/>
        </w:r>
      </w:p>
    </w:sdtContent>
  </w:sdt>
  <w:p w:rsidR="003E31AF" w:rsidRDefault="003E31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803A8"/>
    <w:rsid w:val="000072CA"/>
    <w:rsid w:val="00011C68"/>
    <w:rsid w:val="00012844"/>
    <w:rsid w:val="00044087"/>
    <w:rsid w:val="000442B8"/>
    <w:rsid w:val="00071EBA"/>
    <w:rsid w:val="000E3B34"/>
    <w:rsid w:val="0011463E"/>
    <w:rsid w:val="001302B1"/>
    <w:rsid w:val="00176B9A"/>
    <w:rsid w:val="00197F1C"/>
    <w:rsid w:val="001D4D97"/>
    <w:rsid w:val="001F0A7D"/>
    <w:rsid w:val="002209BC"/>
    <w:rsid w:val="00225453"/>
    <w:rsid w:val="00231FEF"/>
    <w:rsid w:val="00247286"/>
    <w:rsid w:val="00247D13"/>
    <w:rsid w:val="00263EEA"/>
    <w:rsid w:val="002677A4"/>
    <w:rsid w:val="00270241"/>
    <w:rsid w:val="00272F0D"/>
    <w:rsid w:val="00287127"/>
    <w:rsid w:val="002C2C6C"/>
    <w:rsid w:val="00303558"/>
    <w:rsid w:val="0032750A"/>
    <w:rsid w:val="00330116"/>
    <w:rsid w:val="00365E14"/>
    <w:rsid w:val="003857AD"/>
    <w:rsid w:val="00385C5B"/>
    <w:rsid w:val="003869A3"/>
    <w:rsid w:val="003B32DC"/>
    <w:rsid w:val="003B4911"/>
    <w:rsid w:val="003C7CAF"/>
    <w:rsid w:val="003D5F43"/>
    <w:rsid w:val="003E31AF"/>
    <w:rsid w:val="00407613"/>
    <w:rsid w:val="0044407F"/>
    <w:rsid w:val="004606FD"/>
    <w:rsid w:val="00461991"/>
    <w:rsid w:val="00465582"/>
    <w:rsid w:val="004743D3"/>
    <w:rsid w:val="004747E5"/>
    <w:rsid w:val="004915D8"/>
    <w:rsid w:val="004A7EE2"/>
    <w:rsid w:val="004B41D1"/>
    <w:rsid w:val="004C2912"/>
    <w:rsid w:val="004C6188"/>
    <w:rsid w:val="004F4F85"/>
    <w:rsid w:val="005364FE"/>
    <w:rsid w:val="00556183"/>
    <w:rsid w:val="00560ACB"/>
    <w:rsid w:val="005B19C9"/>
    <w:rsid w:val="005C0C74"/>
    <w:rsid w:val="005D6C18"/>
    <w:rsid w:val="005D797F"/>
    <w:rsid w:val="005F0E0A"/>
    <w:rsid w:val="005F4923"/>
    <w:rsid w:val="00604C6C"/>
    <w:rsid w:val="006055C5"/>
    <w:rsid w:val="00627006"/>
    <w:rsid w:val="00655573"/>
    <w:rsid w:val="00657579"/>
    <w:rsid w:val="007110B3"/>
    <w:rsid w:val="00711C7E"/>
    <w:rsid w:val="00720566"/>
    <w:rsid w:val="00723E0E"/>
    <w:rsid w:val="0073611F"/>
    <w:rsid w:val="007534CA"/>
    <w:rsid w:val="0076175B"/>
    <w:rsid w:val="007976E6"/>
    <w:rsid w:val="007B1633"/>
    <w:rsid w:val="007B2F78"/>
    <w:rsid w:val="007B5E82"/>
    <w:rsid w:val="007B65A8"/>
    <w:rsid w:val="007B7250"/>
    <w:rsid w:val="007C55C3"/>
    <w:rsid w:val="007E4596"/>
    <w:rsid w:val="007E6609"/>
    <w:rsid w:val="007E6C16"/>
    <w:rsid w:val="007F0B68"/>
    <w:rsid w:val="007F67F1"/>
    <w:rsid w:val="008131FE"/>
    <w:rsid w:val="00817244"/>
    <w:rsid w:val="00820F25"/>
    <w:rsid w:val="00831466"/>
    <w:rsid w:val="0083232C"/>
    <w:rsid w:val="00870EBA"/>
    <w:rsid w:val="00876444"/>
    <w:rsid w:val="00891805"/>
    <w:rsid w:val="008C63F5"/>
    <w:rsid w:val="008E0B34"/>
    <w:rsid w:val="00906021"/>
    <w:rsid w:val="00906186"/>
    <w:rsid w:val="0092789F"/>
    <w:rsid w:val="00930F89"/>
    <w:rsid w:val="00950537"/>
    <w:rsid w:val="0095148D"/>
    <w:rsid w:val="00966EF4"/>
    <w:rsid w:val="0097148C"/>
    <w:rsid w:val="009803A8"/>
    <w:rsid w:val="00992A0C"/>
    <w:rsid w:val="009A6B9A"/>
    <w:rsid w:val="00A01799"/>
    <w:rsid w:val="00A21768"/>
    <w:rsid w:val="00A25321"/>
    <w:rsid w:val="00A269B6"/>
    <w:rsid w:val="00A3659C"/>
    <w:rsid w:val="00A456B6"/>
    <w:rsid w:val="00A560A1"/>
    <w:rsid w:val="00A607BA"/>
    <w:rsid w:val="00A666F2"/>
    <w:rsid w:val="00A72477"/>
    <w:rsid w:val="00A91C21"/>
    <w:rsid w:val="00AA011B"/>
    <w:rsid w:val="00AA5DB6"/>
    <w:rsid w:val="00AA7198"/>
    <w:rsid w:val="00AC0B9A"/>
    <w:rsid w:val="00AE2D66"/>
    <w:rsid w:val="00AF052A"/>
    <w:rsid w:val="00AF2535"/>
    <w:rsid w:val="00B06AFD"/>
    <w:rsid w:val="00B16397"/>
    <w:rsid w:val="00B2186F"/>
    <w:rsid w:val="00B30B26"/>
    <w:rsid w:val="00B85481"/>
    <w:rsid w:val="00BA7142"/>
    <w:rsid w:val="00BE6240"/>
    <w:rsid w:val="00BF31BF"/>
    <w:rsid w:val="00C163E9"/>
    <w:rsid w:val="00C26A6E"/>
    <w:rsid w:val="00C301F4"/>
    <w:rsid w:val="00C4076A"/>
    <w:rsid w:val="00C45804"/>
    <w:rsid w:val="00C52F2D"/>
    <w:rsid w:val="00C6755D"/>
    <w:rsid w:val="00CB0B7C"/>
    <w:rsid w:val="00CB2F20"/>
    <w:rsid w:val="00CC6842"/>
    <w:rsid w:val="00CE0128"/>
    <w:rsid w:val="00CE483F"/>
    <w:rsid w:val="00CE75FE"/>
    <w:rsid w:val="00D168FD"/>
    <w:rsid w:val="00D22C63"/>
    <w:rsid w:val="00D369AC"/>
    <w:rsid w:val="00D36FD1"/>
    <w:rsid w:val="00D451CA"/>
    <w:rsid w:val="00D45C32"/>
    <w:rsid w:val="00D62F32"/>
    <w:rsid w:val="00D74823"/>
    <w:rsid w:val="00D74FD0"/>
    <w:rsid w:val="00D8610A"/>
    <w:rsid w:val="00DB5EAF"/>
    <w:rsid w:val="00DB64ED"/>
    <w:rsid w:val="00DF0EDC"/>
    <w:rsid w:val="00E02569"/>
    <w:rsid w:val="00E11462"/>
    <w:rsid w:val="00E30BA8"/>
    <w:rsid w:val="00E37C18"/>
    <w:rsid w:val="00E53544"/>
    <w:rsid w:val="00E61ADB"/>
    <w:rsid w:val="00E63331"/>
    <w:rsid w:val="00E7152E"/>
    <w:rsid w:val="00EB28E7"/>
    <w:rsid w:val="00EB32D5"/>
    <w:rsid w:val="00EE3A64"/>
    <w:rsid w:val="00F063E3"/>
    <w:rsid w:val="00F7365D"/>
    <w:rsid w:val="00F9433B"/>
    <w:rsid w:val="00FA061A"/>
    <w:rsid w:val="00FA6984"/>
    <w:rsid w:val="00FC0E11"/>
    <w:rsid w:val="00FE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3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39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163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6397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F2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55C3"/>
    <w:pPr>
      <w:ind w:left="720"/>
      <w:contextualSpacing/>
    </w:pPr>
  </w:style>
  <w:style w:type="paragraph" w:customStyle="1" w:styleId="1">
    <w:name w:val="Обычный (веб)1"/>
    <w:basedOn w:val="a"/>
    <w:semiHidden/>
    <w:rsid w:val="00930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CB2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2F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CC26E-D340-46C2-B061-FB77BFB8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5915</Words>
  <Characters>3373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tetiana.chernysh</cp:lastModifiedBy>
  <cp:revision>5</cp:revision>
  <cp:lastPrinted>2019-07-31T13:02:00Z</cp:lastPrinted>
  <dcterms:created xsi:type="dcterms:W3CDTF">2019-09-25T09:51:00Z</dcterms:created>
  <dcterms:modified xsi:type="dcterms:W3CDTF">2019-09-25T09:54:00Z</dcterms:modified>
</cp:coreProperties>
</file>