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DA" w:rsidRPr="00517164" w:rsidRDefault="00B85DDA" w:rsidP="0029157F">
      <w:pPr>
        <w:spacing w:after="0" w:line="240" w:lineRule="auto"/>
        <w:jc w:val="center"/>
        <w:rPr>
          <w:rFonts w:ascii="Times New Roman" w:hAnsi="Times New Roman" w:cs="Times New Roman"/>
          <w:b/>
          <w:sz w:val="28"/>
          <w:szCs w:val="28"/>
        </w:rPr>
      </w:pPr>
    </w:p>
    <w:p w:rsidR="00F865BB" w:rsidRPr="00517164" w:rsidRDefault="00F865BB" w:rsidP="0029157F">
      <w:pPr>
        <w:spacing w:after="0" w:line="240" w:lineRule="auto"/>
        <w:jc w:val="center"/>
        <w:rPr>
          <w:rFonts w:ascii="Times New Roman" w:hAnsi="Times New Roman" w:cs="Times New Roman"/>
          <w:b/>
          <w:sz w:val="28"/>
          <w:szCs w:val="28"/>
        </w:rPr>
      </w:pPr>
      <w:r w:rsidRPr="00517164">
        <w:rPr>
          <w:rFonts w:ascii="Times New Roman" w:hAnsi="Times New Roman" w:cs="Times New Roman"/>
          <w:b/>
          <w:sz w:val="28"/>
          <w:szCs w:val="28"/>
        </w:rPr>
        <w:t>АНАЛІЗ РЕГУЛЯТОРНОГО ВПЛИВУ</w:t>
      </w:r>
    </w:p>
    <w:p w:rsidR="00EB0B08" w:rsidRPr="00517164" w:rsidRDefault="00EB0B08" w:rsidP="0029157F">
      <w:pPr>
        <w:spacing w:after="0" w:line="240" w:lineRule="auto"/>
        <w:jc w:val="center"/>
        <w:rPr>
          <w:rFonts w:ascii="Times New Roman" w:hAnsi="Times New Roman" w:cs="Times New Roman"/>
          <w:b/>
          <w:sz w:val="28"/>
          <w:szCs w:val="28"/>
          <w:lang w:val="ru-RU"/>
        </w:rPr>
      </w:pPr>
    </w:p>
    <w:p w:rsidR="00F865BB" w:rsidRPr="00517164" w:rsidRDefault="00F865BB" w:rsidP="0029157F">
      <w:pPr>
        <w:spacing w:after="0" w:line="240" w:lineRule="auto"/>
        <w:jc w:val="center"/>
        <w:rPr>
          <w:rFonts w:ascii="Times New Roman" w:hAnsi="Times New Roman" w:cs="Times New Roman"/>
          <w:b/>
          <w:bCs/>
          <w:sz w:val="28"/>
          <w:szCs w:val="28"/>
        </w:rPr>
      </w:pPr>
      <w:r w:rsidRPr="00517164">
        <w:rPr>
          <w:rFonts w:ascii="Times New Roman" w:hAnsi="Times New Roman" w:cs="Times New Roman"/>
          <w:b/>
          <w:sz w:val="28"/>
          <w:szCs w:val="28"/>
        </w:rPr>
        <w:t>до проекту наказу Міністерства фінансів України</w:t>
      </w:r>
      <w:r w:rsidR="00246C1E" w:rsidRPr="00517164">
        <w:rPr>
          <w:rFonts w:ascii="Times New Roman" w:hAnsi="Times New Roman" w:cs="Times New Roman"/>
          <w:b/>
          <w:sz w:val="28"/>
          <w:szCs w:val="28"/>
        </w:rPr>
        <w:t xml:space="preserve"> «</w:t>
      </w:r>
      <w:r w:rsidR="00246C1E" w:rsidRPr="00517164">
        <w:rPr>
          <w:rFonts w:ascii="Times New Roman" w:hAnsi="Times New Roman" w:cs="Times New Roman"/>
          <w:b/>
          <w:bCs/>
          <w:sz w:val="28"/>
          <w:szCs w:val="28"/>
        </w:rPr>
        <w:t xml:space="preserve">Про </w:t>
      </w:r>
      <w:r w:rsidR="006338A5" w:rsidRPr="00517164">
        <w:rPr>
          <w:rFonts w:ascii="Times New Roman" w:hAnsi="Times New Roman" w:cs="Times New Roman"/>
          <w:b/>
          <w:bCs/>
          <w:sz w:val="28"/>
          <w:szCs w:val="28"/>
        </w:rPr>
        <w:t>затвердження Змін до Порядку повернення авансових платежів (передоплати) і помилково та/або надміру сплачених сум митних платежів</w:t>
      </w:r>
      <w:r w:rsidR="00246C1E" w:rsidRPr="00517164">
        <w:rPr>
          <w:rFonts w:ascii="Times New Roman" w:hAnsi="Times New Roman" w:cs="Times New Roman"/>
          <w:b/>
          <w:sz w:val="28"/>
          <w:szCs w:val="28"/>
        </w:rPr>
        <w:t>»</w:t>
      </w:r>
    </w:p>
    <w:p w:rsidR="005077F2" w:rsidRPr="00517164" w:rsidRDefault="005077F2" w:rsidP="00F865BB">
      <w:pPr>
        <w:spacing w:after="0" w:line="240" w:lineRule="auto"/>
        <w:rPr>
          <w:rFonts w:ascii="Times New Roman" w:hAnsi="Times New Roman" w:cs="Times New Roman"/>
          <w:sz w:val="28"/>
          <w:szCs w:val="28"/>
        </w:rPr>
      </w:pPr>
    </w:p>
    <w:p w:rsidR="000F09D2" w:rsidRPr="00517164" w:rsidRDefault="00F865BB" w:rsidP="00470819">
      <w:pPr>
        <w:spacing w:after="0" w:line="240" w:lineRule="auto"/>
        <w:ind w:firstLine="567"/>
        <w:rPr>
          <w:rFonts w:ascii="Times New Roman" w:hAnsi="Times New Roman" w:cs="Times New Roman"/>
          <w:b/>
          <w:sz w:val="28"/>
          <w:szCs w:val="28"/>
        </w:rPr>
      </w:pPr>
      <w:r w:rsidRPr="00517164">
        <w:rPr>
          <w:rFonts w:ascii="Times New Roman" w:hAnsi="Times New Roman" w:cs="Times New Roman"/>
          <w:b/>
          <w:sz w:val="28"/>
          <w:szCs w:val="28"/>
        </w:rPr>
        <w:t>I. Визначення проблеми</w:t>
      </w:r>
    </w:p>
    <w:p w:rsidR="00C366DE" w:rsidRPr="00517164" w:rsidRDefault="00C366DE" w:rsidP="00470819">
      <w:pPr>
        <w:spacing w:after="0" w:line="240" w:lineRule="auto"/>
        <w:ind w:firstLine="567"/>
        <w:rPr>
          <w:rFonts w:ascii="Times New Roman" w:hAnsi="Times New Roman" w:cs="Times New Roman"/>
          <w:sz w:val="28"/>
          <w:szCs w:val="28"/>
        </w:rPr>
      </w:pPr>
    </w:p>
    <w:p w:rsidR="00DF72B8" w:rsidRPr="00517164" w:rsidRDefault="00FE504B"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 xml:space="preserve">Пунктом 1 статті 298 Митного кодексу України (далі – Кодекс) передбачено, що суми митних платежів, нараховані </w:t>
      </w:r>
      <w:r w:rsidR="00DF72B8" w:rsidRPr="00517164">
        <w:rPr>
          <w:rFonts w:ascii="Times New Roman" w:hAnsi="Times New Roman" w:cs="Times New Roman"/>
          <w:sz w:val="28"/>
          <w:szCs w:val="28"/>
        </w:rPr>
        <w:t>органом доходів і зборів, підлягають сплаті до державного бюджету платником податків безпосередньо на єдиний казначейський рахунок.</w:t>
      </w:r>
    </w:p>
    <w:p w:rsidR="00685363" w:rsidRPr="00517164" w:rsidRDefault="00DF72B8"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Наказом Міністерства фінансів України від</w:t>
      </w:r>
      <w:r w:rsidR="00C73D29" w:rsidRPr="00C73D29">
        <w:rPr>
          <w:rFonts w:ascii="Times New Roman" w:hAnsi="Times New Roman" w:cs="Times New Roman"/>
          <w:sz w:val="28"/>
          <w:szCs w:val="28"/>
        </w:rPr>
        <w:t xml:space="preserve"> </w:t>
      </w:r>
      <w:r w:rsidRPr="00517164">
        <w:rPr>
          <w:rFonts w:ascii="Times New Roman" w:hAnsi="Times New Roman" w:cs="Times New Roman"/>
          <w:sz w:val="28"/>
          <w:szCs w:val="28"/>
        </w:rPr>
        <w:t>01.11.2017 № 898</w:t>
      </w:r>
      <w:r w:rsidR="003D4CD4" w:rsidRPr="00517164">
        <w:rPr>
          <w:rFonts w:ascii="Times New Roman" w:hAnsi="Times New Roman" w:cs="Times New Roman"/>
          <w:sz w:val="28"/>
          <w:szCs w:val="28"/>
        </w:rPr>
        <w:t>,</w:t>
      </w:r>
      <w:r w:rsidRPr="00517164">
        <w:rPr>
          <w:rFonts w:ascii="Times New Roman" w:hAnsi="Times New Roman" w:cs="Times New Roman"/>
          <w:sz w:val="28"/>
          <w:szCs w:val="28"/>
        </w:rPr>
        <w:t xml:space="preserve"> зареєстрованим в Міністерстві юстиції України </w:t>
      </w:r>
      <w:r w:rsidR="003D4CD4" w:rsidRPr="00517164">
        <w:rPr>
          <w:rFonts w:ascii="Times New Roman" w:hAnsi="Times New Roman" w:cs="Times New Roman"/>
          <w:sz w:val="28"/>
          <w:szCs w:val="28"/>
        </w:rPr>
        <w:t>23.11.2017 за № 1429/31297 (зі</w:t>
      </w:r>
      <w:r w:rsidR="00A96C21" w:rsidRPr="00517164">
        <w:rPr>
          <w:rFonts w:ascii="Times New Roman" w:hAnsi="Times New Roman" w:cs="Times New Roman"/>
          <w:sz w:val="28"/>
          <w:szCs w:val="28"/>
        </w:rPr>
        <w:t> </w:t>
      </w:r>
      <w:r w:rsidR="003D4CD4" w:rsidRPr="00517164">
        <w:rPr>
          <w:rFonts w:ascii="Times New Roman" w:hAnsi="Times New Roman" w:cs="Times New Roman"/>
          <w:sz w:val="28"/>
          <w:szCs w:val="28"/>
        </w:rPr>
        <w:t>змінами)</w:t>
      </w:r>
      <w:r w:rsidR="00685363" w:rsidRPr="00517164">
        <w:rPr>
          <w:rFonts w:ascii="Times New Roman" w:hAnsi="Times New Roman" w:cs="Times New Roman"/>
          <w:sz w:val="28"/>
          <w:szCs w:val="28"/>
        </w:rPr>
        <w:t>,</w:t>
      </w:r>
      <w:r w:rsidR="003D4CD4" w:rsidRPr="00517164">
        <w:rPr>
          <w:rFonts w:ascii="Times New Roman" w:hAnsi="Times New Roman" w:cs="Times New Roman"/>
          <w:sz w:val="28"/>
          <w:szCs w:val="28"/>
        </w:rPr>
        <w:t xml:space="preserve"> затверджено Порядок перерахування до державного бюджету митних та інших платежів, які вносяться до/або під час митного оформлення, </w:t>
      </w:r>
      <w:r w:rsidR="00A96C21" w:rsidRPr="00517164">
        <w:rPr>
          <w:rFonts w:ascii="Times New Roman" w:hAnsi="Times New Roman" w:cs="Times New Roman"/>
          <w:sz w:val="28"/>
          <w:szCs w:val="28"/>
        </w:rPr>
        <w:t xml:space="preserve">яким </w:t>
      </w:r>
      <w:r w:rsidR="00685363" w:rsidRPr="00517164">
        <w:rPr>
          <w:rFonts w:ascii="Times New Roman" w:hAnsi="Times New Roman" w:cs="Times New Roman"/>
          <w:sz w:val="28"/>
          <w:szCs w:val="28"/>
        </w:rPr>
        <w:t xml:space="preserve">встановлено, що </w:t>
      </w:r>
      <w:r w:rsidR="001073A9" w:rsidRPr="00517164">
        <w:rPr>
          <w:rFonts w:ascii="Times New Roman" w:hAnsi="Times New Roman" w:cs="Times New Roman"/>
          <w:sz w:val="28"/>
          <w:szCs w:val="28"/>
        </w:rPr>
        <w:t xml:space="preserve">поетапно </w:t>
      </w:r>
      <w:r w:rsidR="00A96C21" w:rsidRPr="00517164">
        <w:rPr>
          <w:rFonts w:ascii="Times New Roman" w:hAnsi="Times New Roman" w:cs="Times New Roman"/>
          <w:sz w:val="28"/>
          <w:szCs w:val="28"/>
        </w:rPr>
        <w:t xml:space="preserve">підприємства переводяться на обслуговування через депозитний рахунок 3734, відкритий </w:t>
      </w:r>
      <w:r w:rsidR="00124F37" w:rsidRPr="00517164">
        <w:rPr>
          <w:rFonts w:ascii="Times New Roman" w:hAnsi="Times New Roman" w:cs="Times New Roman"/>
          <w:sz w:val="28"/>
          <w:szCs w:val="28"/>
        </w:rPr>
        <w:t>у</w:t>
      </w:r>
      <w:r w:rsidR="00A96C21" w:rsidRPr="00517164">
        <w:rPr>
          <w:rFonts w:ascii="Times New Roman" w:hAnsi="Times New Roman" w:cs="Times New Roman"/>
          <w:sz w:val="28"/>
          <w:szCs w:val="28"/>
        </w:rPr>
        <w:t xml:space="preserve"> Державній казначейській службі України на ім’я Державної фіскальної служби України, для зарахування авансових платежів (передоплати)</w:t>
      </w:r>
      <w:r w:rsidR="0035032A" w:rsidRPr="00517164">
        <w:rPr>
          <w:rFonts w:ascii="Times New Roman" w:hAnsi="Times New Roman" w:cs="Times New Roman"/>
          <w:sz w:val="28"/>
          <w:szCs w:val="28"/>
        </w:rPr>
        <w:t xml:space="preserve"> (далі – «єдиний рахунок»)</w:t>
      </w:r>
      <w:r w:rsidR="001073A9" w:rsidRPr="00517164">
        <w:rPr>
          <w:rFonts w:ascii="Times New Roman" w:hAnsi="Times New Roman" w:cs="Times New Roman"/>
          <w:sz w:val="28"/>
          <w:szCs w:val="28"/>
        </w:rPr>
        <w:t>, а саме</w:t>
      </w:r>
      <w:r w:rsidR="00A96C21" w:rsidRPr="00517164">
        <w:rPr>
          <w:rFonts w:ascii="Times New Roman" w:hAnsi="Times New Roman" w:cs="Times New Roman"/>
          <w:sz w:val="28"/>
          <w:szCs w:val="28"/>
        </w:rPr>
        <w:t>:</w:t>
      </w:r>
    </w:p>
    <w:p w:rsidR="00685363" w:rsidRPr="00517164" w:rsidRDefault="00685363"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на перехідний період (з 15 січня 20</w:t>
      </w:r>
      <w:r w:rsidR="00A96C21" w:rsidRPr="00517164">
        <w:rPr>
          <w:rFonts w:ascii="Times New Roman" w:hAnsi="Times New Roman" w:cs="Times New Roman"/>
          <w:sz w:val="28"/>
          <w:szCs w:val="28"/>
        </w:rPr>
        <w:t>18 року до 15 квітня 2019 року) – </w:t>
      </w:r>
      <w:r w:rsidRPr="00517164">
        <w:rPr>
          <w:rFonts w:ascii="Times New Roman" w:hAnsi="Times New Roman" w:cs="Times New Roman"/>
          <w:sz w:val="28"/>
          <w:szCs w:val="28"/>
        </w:rPr>
        <w:t>за рішенням підприємства;</w:t>
      </w:r>
    </w:p>
    <w:p w:rsidR="00685363" w:rsidRPr="00517164" w:rsidRDefault="00685363"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з 16 квітня 2019 року</w:t>
      </w:r>
      <w:r w:rsidR="00A96C21" w:rsidRPr="00517164">
        <w:rPr>
          <w:rFonts w:ascii="Times New Roman" w:hAnsi="Times New Roman" w:cs="Times New Roman"/>
          <w:sz w:val="28"/>
          <w:szCs w:val="28"/>
        </w:rPr>
        <w:t> – на постійній основі.</w:t>
      </w:r>
    </w:p>
    <w:p w:rsidR="00685363" w:rsidRPr="00517164" w:rsidRDefault="00D35921"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Відповідно до пункту</w:t>
      </w:r>
      <w:r w:rsidR="00A96C21" w:rsidRPr="00517164">
        <w:rPr>
          <w:rFonts w:ascii="Times New Roman" w:hAnsi="Times New Roman" w:cs="Times New Roman"/>
          <w:sz w:val="28"/>
          <w:szCs w:val="28"/>
        </w:rPr>
        <w:t xml:space="preserve"> 5 статті 299 </w:t>
      </w:r>
      <w:r w:rsidR="00384541" w:rsidRPr="00517164">
        <w:rPr>
          <w:rFonts w:ascii="Times New Roman" w:hAnsi="Times New Roman" w:cs="Times New Roman"/>
          <w:sz w:val="28"/>
          <w:szCs w:val="28"/>
        </w:rPr>
        <w:t xml:space="preserve">та частини третьої статті 301 </w:t>
      </w:r>
      <w:r w:rsidR="00A96C21" w:rsidRPr="00517164">
        <w:rPr>
          <w:rFonts w:ascii="Times New Roman" w:hAnsi="Times New Roman" w:cs="Times New Roman"/>
          <w:sz w:val="28"/>
          <w:szCs w:val="28"/>
        </w:rPr>
        <w:t xml:space="preserve">Кодексу </w:t>
      </w:r>
      <w:r w:rsidRPr="00517164">
        <w:rPr>
          <w:rFonts w:ascii="Times New Roman" w:hAnsi="Times New Roman" w:cs="Times New Roman"/>
          <w:sz w:val="28"/>
          <w:szCs w:val="28"/>
        </w:rPr>
        <w:t>п</w:t>
      </w:r>
      <w:r w:rsidR="00A96C21" w:rsidRPr="00517164">
        <w:rPr>
          <w:rFonts w:ascii="Times New Roman" w:hAnsi="Times New Roman" w:cs="Times New Roman"/>
          <w:sz w:val="28"/>
          <w:szCs w:val="28"/>
        </w:rPr>
        <w:t xml:space="preserve">овернення коштів авансових платежів </w:t>
      </w:r>
      <w:r w:rsidRPr="00517164">
        <w:rPr>
          <w:rFonts w:ascii="Times New Roman" w:hAnsi="Times New Roman" w:cs="Times New Roman"/>
          <w:sz w:val="28"/>
          <w:szCs w:val="28"/>
        </w:rPr>
        <w:t xml:space="preserve">і помилково та/або надміру сплачених сум митних платежів </w:t>
      </w:r>
      <w:r w:rsidR="00A96C21" w:rsidRPr="00517164">
        <w:rPr>
          <w:rFonts w:ascii="Times New Roman" w:hAnsi="Times New Roman" w:cs="Times New Roman"/>
          <w:sz w:val="28"/>
          <w:szCs w:val="28"/>
        </w:rPr>
        <w:t>здійснюється в порядку, встановленому центральним органом виконавчої влади, що забезпечує формування та реалізує державну податкову і митну політику</w:t>
      </w:r>
      <w:r w:rsidRPr="00517164">
        <w:rPr>
          <w:rFonts w:ascii="Times New Roman" w:hAnsi="Times New Roman" w:cs="Times New Roman"/>
          <w:sz w:val="28"/>
          <w:szCs w:val="28"/>
        </w:rPr>
        <w:t>.</w:t>
      </w:r>
    </w:p>
    <w:p w:rsidR="00685363" w:rsidRPr="00517164" w:rsidRDefault="00ED59C6"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 xml:space="preserve">Проблема полягає в тому, що </w:t>
      </w:r>
      <w:r w:rsidR="00147A56" w:rsidRPr="00517164">
        <w:rPr>
          <w:rFonts w:ascii="Times New Roman" w:hAnsi="Times New Roman" w:cs="Times New Roman"/>
          <w:sz w:val="28"/>
          <w:szCs w:val="28"/>
        </w:rPr>
        <w:t xml:space="preserve">суб’єкти господарювання </w:t>
      </w:r>
      <w:r w:rsidRPr="00517164">
        <w:rPr>
          <w:rFonts w:ascii="Times New Roman" w:hAnsi="Times New Roman" w:cs="Times New Roman"/>
          <w:sz w:val="28"/>
          <w:szCs w:val="28"/>
        </w:rPr>
        <w:t xml:space="preserve">з </w:t>
      </w:r>
      <w:r w:rsidR="00380B8D" w:rsidRPr="00517164">
        <w:rPr>
          <w:rFonts w:ascii="Times New Roman" w:hAnsi="Times New Roman" w:cs="Times New Roman"/>
          <w:sz w:val="28"/>
          <w:szCs w:val="28"/>
        </w:rPr>
        <w:t>моменту початку функціонування «єдиного рахунку»</w:t>
      </w:r>
      <w:r w:rsidRPr="00517164">
        <w:rPr>
          <w:rFonts w:ascii="Times New Roman" w:hAnsi="Times New Roman" w:cs="Times New Roman"/>
          <w:sz w:val="28"/>
          <w:szCs w:val="28"/>
        </w:rPr>
        <w:t xml:space="preserve"> </w:t>
      </w:r>
      <w:r w:rsidR="00607B16" w:rsidRPr="00517164">
        <w:rPr>
          <w:rFonts w:ascii="Times New Roman" w:hAnsi="Times New Roman" w:cs="Times New Roman"/>
          <w:sz w:val="28"/>
          <w:szCs w:val="28"/>
        </w:rPr>
        <w:t xml:space="preserve">не зможуть </w:t>
      </w:r>
      <w:r w:rsidRPr="00517164">
        <w:rPr>
          <w:rFonts w:ascii="Times New Roman" w:hAnsi="Times New Roman" w:cs="Times New Roman"/>
          <w:sz w:val="28"/>
          <w:szCs w:val="28"/>
        </w:rPr>
        <w:t>поверн</w:t>
      </w:r>
      <w:r w:rsidR="00607B16" w:rsidRPr="00517164">
        <w:rPr>
          <w:rFonts w:ascii="Times New Roman" w:hAnsi="Times New Roman" w:cs="Times New Roman"/>
          <w:sz w:val="28"/>
          <w:szCs w:val="28"/>
        </w:rPr>
        <w:t>ути</w:t>
      </w:r>
      <w:r w:rsidRPr="00517164">
        <w:rPr>
          <w:rFonts w:ascii="Times New Roman" w:hAnsi="Times New Roman" w:cs="Times New Roman"/>
          <w:sz w:val="28"/>
          <w:szCs w:val="28"/>
        </w:rPr>
        <w:t xml:space="preserve"> кошт</w:t>
      </w:r>
      <w:r w:rsidR="00607B16" w:rsidRPr="00517164">
        <w:rPr>
          <w:rFonts w:ascii="Times New Roman" w:hAnsi="Times New Roman" w:cs="Times New Roman"/>
          <w:sz w:val="28"/>
          <w:szCs w:val="28"/>
        </w:rPr>
        <w:t>и</w:t>
      </w:r>
      <w:r w:rsidRPr="00517164">
        <w:rPr>
          <w:rFonts w:ascii="Times New Roman" w:hAnsi="Times New Roman" w:cs="Times New Roman"/>
          <w:sz w:val="28"/>
          <w:szCs w:val="28"/>
        </w:rPr>
        <w:t xml:space="preserve"> авансових платежів з </w:t>
      </w:r>
      <w:r w:rsidR="00147A56" w:rsidRPr="00517164">
        <w:rPr>
          <w:rFonts w:ascii="Times New Roman" w:hAnsi="Times New Roman" w:cs="Times New Roman"/>
          <w:sz w:val="28"/>
          <w:szCs w:val="28"/>
        </w:rPr>
        <w:t>цього рахунку</w:t>
      </w:r>
      <w:r w:rsidRPr="00517164">
        <w:rPr>
          <w:rFonts w:ascii="Times New Roman" w:hAnsi="Times New Roman" w:cs="Times New Roman"/>
          <w:sz w:val="28"/>
          <w:szCs w:val="28"/>
        </w:rPr>
        <w:t>, оскільки нормативно не врегульован</w:t>
      </w:r>
      <w:r w:rsidR="007B2D17" w:rsidRPr="00517164">
        <w:rPr>
          <w:rFonts w:ascii="Times New Roman" w:hAnsi="Times New Roman" w:cs="Times New Roman"/>
          <w:sz w:val="28"/>
          <w:szCs w:val="28"/>
        </w:rPr>
        <w:t>а</w:t>
      </w:r>
      <w:r w:rsidRPr="00517164">
        <w:rPr>
          <w:rFonts w:ascii="Times New Roman" w:hAnsi="Times New Roman" w:cs="Times New Roman"/>
          <w:sz w:val="28"/>
          <w:szCs w:val="28"/>
        </w:rPr>
        <w:t xml:space="preserve"> процедур</w:t>
      </w:r>
      <w:r w:rsidR="007B2D17" w:rsidRPr="00517164">
        <w:rPr>
          <w:rFonts w:ascii="Times New Roman" w:hAnsi="Times New Roman" w:cs="Times New Roman"/>
          <w:sz w:val="28"/>
          <w:szCs w:val="28"/>
        </w:rPr>
        <w:t>а</w:t>
      </w:r>
      <w:r w:rsidRPr="00517164">
        <w:rPr>
          <w:rFonts w:ascii="Times New Roman" w:hAnsi="Times New Roman" w:cs="Times New Roman"/>
          <w:sz w:val="28"/>
          <w:szCs w:val="28"/>
        </w:rPr>
        <w:t xml:space="preserve"> </w:t>
      </w:r>
      <w:r w:rsidR="001073A9" w:rsidRPr="00517164">
        <w:rPr>
          <w:rFonts w:ascii="Times New Roman" w:hAnsi="Times New Roman" w:cs="Times New Roman"/>
          <w:sz w:val="28"/>
          <w:szCs w:val="28"/>
        </w:rPr>
        <w:t xml:space="preserve">повернення </w:t>
      </w:r>
      <w:r w:rsidR="0035032A" w:rsidRPr="00517164">
        <w:rPr>
          <w:rFonts w:ascii="Times New Roman" w:hAnsi="Times New Roman" w:cs="Times New Roman"/>
          <w:sz w:val="28"/>
          <w:szCs w:val="28"/>
        </w:rPr>
        <w:t>таких</w:t>
      </w:r>
      <w:r w:rsidR="001073A9" w:rsidRPr="00517164">
        <w:rPr>
          <w:rFonts w:ascii="Times New Roman" w:hAnsi="Times New Roman" w:cs="Times New Roman"/>
          <w:sz w:val="28"/>
          <w:szCs w:val="28"/>
        </w:rPr>
        <w:t xml:space="preserve"> платежів</w:t>
      </w:r>
      <w:r w:rsidRPr="00517164">
        <w:rPr>
          <w:rFonts w:ascii="Times New Roman" w:hAnsi="Times New Roman" w:cs="Times New Roman"/>
          <w:sz w:val="28"/>
          <w:szCs w:val="28"/>
        </w:rPr>
        <w:t>.</w:t>
      </w:r>
    </w:p>
    <w:p w:rsidR="00D468DE" w:rsidRPr="00517164" w:rsidRDefault="00D468DE" w:rsidP="00384541">
      <w:pPr>
        <w:spacing w:line="240" w:lineRule="auto"/>
        <w:ind w:firstLine="567"/>
        <w:contextualSpacing/>
        <w:jc w:val="both"/>
        <w:rPr>
          <w:rFonts w:ascii="Times New Roman" w:hAnsi="Times New Roman" w:cs="Times New Roman"/>
          <w:sz w:val="28"/>
          <w:szCs w:val="28"/>
        </w:rPr>
      </w:pPr>
      <w:r w:rsidRPr="00517164">
        <w:rPr>
          <w:rFonts w:ascii="Times New Roman" w:hAnsi="Times New Roman" w:cs="Times New Roman"/>
          <w:sz w:val="28"/>
          <w:szCs w:val="28"/>
        </w:rPr>
        <w:t>Крім того</w:t>
      </w:r>
      <w:r w:rsidR="005410E8" w:rsidRPr="00517164">
        <w:rPr>
          <w:rFonts w:ascii="Times New Roman" w:hAnsi="Times New Roman" w:cs="Times New Roman"/>
          <w:sz w:val="28"/>
          <w:szCs w:val="28"/>
        </w:rPr>
        <w:t>,</w:t>
      </w:r>
      <w:r w:rsidRPr="00517164">
        <w:rPr>
          <w:rFonts w:ascii="Times New Roman" w:hAnsi="Times New Roman" w:cs="Times New Roman"/>
          <w:sz w:val="28"/>
          <w:szCs w:val="28"/>
        </w:rPr>
        <w:t xml:space="preserve"> </w:t>
      </w:r>
      <w:r w:rsidR="00F979AE" w:rsidRPr="00517164">
        <w:rPr>
          <w:rFonts w:ascii="Times New Roman" w:hAnsi="Times New Roman" w:cs="Times New Roman"/>
          <w:sz w:val="28"/>
          <w:szCs w:val="28"/>
        </w:rPr>
        <w:t xml:space="preserve">з метою однозначного трактування </w:t>
      </w:r>
      <w:r w:rsidRPr="00517164">
        <w:rPr>
          <w:rFonts w:ascii="Times New Roman" w:hAnsi="Times New Roman" w:cs="Times New Roman"/>
          <w:sz w:val="28"/>
          <w:szCs w:val="28"/>
        </w:rPr>
        <w:t>потребує врегулювання питання щодо уточнення переліку документів, що надаються до заяви платників податків при поверненні з державного бюджету помилково та/або надміру сплачених митних, інших платежів та пені</w:t>
      </w:r>
      <w:r w:rsidR="00E657A2" w:rsidRPr="00517164">
        <w:rPr>
          <w:rFonts w:ascii="Times New Roman" w:hAnsi="Times New Roman" w:cs="Times New Roman"/>
          <w:sz w:val="28"/>
          <w:szCs w:val="28"/>
        </w:rPr>
        <w:t>.</w:t>
      </w:r>
      <w:r w:rsidRPr="00517164">
        <w:rPr>
          <w:rFonts w:ascii="Times New Roman" w:hAnsi="Times New Roman" w:cs="Times New Roman"/>
          <w:sz w:val="28"/>
          <w:szCs w:val="28"/>
        </w:rPr>
        <w:t xml:space="preserve"> </w:t>
      </w:r>
    </w:p>
    <w:p w:rsidR="00685363" w:rsidRPr="00517164" w:rsidRDefault="0035032A" w:rsidP="00384541">
      <w:pPr>
        <w:spacing w:after="0" w:line="240" w:lineRule="auto"/>
        <w:ind w:firstLine="567"/>
        <w:contextualSpacing/>
        <w:jc w:val="both"/>
        <w:rPr>
          <w:rFonts w:ascii="Times New Roman" w:hAnsi="Times New Roman" w:cs="Times New Roman"/>
          <w:bCs/>
          <w:sz w:val="28"/>
          <w:szCs w:val="28"/>
        </w:rPr>
      </w:pPr>
      <w:r w:rsidRPr="00517164">
        <w:rPr>
          <w:rFonts w:ascii="Times New Roman" w:hAnsi="Times New Roman" w:cs="Times New Roman"/>
          <w:sz w:val="28"/>
          <w:szCs w:val="28"/>
        </w:rPr>
        <w:t xml:space="preserve">Вирішення існуючої проблеми вбачаємо шляхом внесення змін до наказу Міністерства фінансів України </w:t>
      </w:r>
      <w:r w:rsidRPr="00517164">
        <w:rPr>
          <w:rFonts w:ascii="Times New Roman" w:hAnsi="Times New Roman" w:cs="Times New Roman"/>
          <w:bCs/>
          <w:sz w:val="28"/>
          <w:szCs w:val="28"/>
        </w:rPr>
        <w:t>від 18.07.2017 № 643</w:t>
      </w:r>
      <w:r w:rsidRPr="00517164">
        <w:rPr>
          <w:rFonts w:ascii="Times New Roman" w:hAnsi="Times New Roman" w:cs="Times New Roman"/>
          <w:sz w:val="28"/>
          <w:szCs w:val="28"/>
        </w:rPr>
        <w:t xml:space="preserve"> «</w:t>
      </w:r>
      <w:r w:rsidRPr="00517164">
        <w:rPr>
          <w:rFonts w:ascii="Times New Roman" w:hAnsi="Times New Roman" w:cs="Times New Roman"/>
          <w:bCs/>
          <w:sz w:val="28"/>
          <w:szCs w:val="28"/>
        </w:rPr>
        <w:t>Про затвердження Порядку повернення авансових платежів (передоплати) і помилково та/або надміру</w:t>
      </w:r>
      <w:r w:rsidR="006D4E07" w:rsidRPr="00517164">
        <w:rPr>
          <w:rFonts w:ascii="Times New Roman" w:hAnsi="Times New Roman" w:cs="Times New Roman"/>
          <w:bCs/>
          <w:sz w:val="28"/>
          <w:szCs w:val="28"/>
        </w:rPr>
        <w:t xml:space="preserve"> сплачених сум митних платежів</w:t>
      </w:r>
      <w:r w:rsidR="006D4E07" w:rsidRPr="00517164">
        <w:rPr>
          <w:rFonts w:ascii="Times New Roman" w:hAnsi="Times New Roman" w:cs="Times New Roman"/>
          <w:sz w:val="28"/>
          <w:szCs w:val="28"/>
        </w:rPr>
        <w:t>»,</w:t>
      </w:r>
      <w:r w:rsidR="00CB2587" w:rsidRPr="00517164">
        <w:rPr>
          <w:rFonts w:ascii="Times New Roman" w:hAnsi="Times New Roman" w:cs="Times New Roman"/>
          <w:sz w:val="28"/>
          <w:szCs w:val="28"/>
        </w:rPr>
        <w:t xml:space="preserve"> зареєстрованого у Мі</w:t>
      </w:r>
      <w:r w:rsidR="00C73D29">
        <w:rPr>
          <w:rFonts w:ascii="Times New Roman" w:hAnsi="Times New Roman" w:cs="Times New Roman"/>
          <w:sz w:val="28"/>
          <w:szCs w:val="28"/>
        </w:rPr>
        <w:t>ністерстві юстиції України 09</w:t>
      </w:r>
      <w:r w:rsidR="00FA724A">
        <w:rPr>
          <w:rFonts w:ascii="Times New Roman" w:hAnsi="Times New Roman" w:cs="Times New Roman"/>
          <w:sz w:val="28"/>
          <w:szCs w:val="28"/>
        </w:rPr>
        <w:t>.0</w:t>
      </w:r>
      <w:r w:rsidR="00FA724A" w:rsidRPr="00FA724A">
        <w:rPr>
          <w:rFonts w:ascii="Times New Roman" w:hAnsi="Times New Roman" w:cs="Times New Roman"/>
          <w:sz w:val="28"/>
          <w:szCs w:val="28"/>
        </w:rPr>
        <w:t>8</w:t>
      </w:r>
      <w:bookmarkStart w:id="0" w:name="_GoBack"/>
      <w:bookmarkEnd w:id="0"/>
      <w:r w:rsidR="00C73D29" w:rsidRPr="00C73D29">
        <w:rPr>
          <w:rFonts w:ascii="Times New Roman" w:hAnsi="Times New Roman" w:cs="Times New Roman"/>
          <w:sz w:val="28"/>
          <w:szCs w:val="28"/>
        </w:rPr>
        <w:t>.</w:t>
      </w:r>
      <w:r w:rsidR="00CB2587" w:rsidRPr="00517164">
        <w:rPr>
          <w:rFonts w:ascii="Times New Roman" w:hAnsi="Times New Roman" w:cs="Times New Roman"/>
          <w:sz w:val="28"/>
          <w:szCs w:val="28"/>
        </w:rPr>
        <w:t xml:space="preserve">2017 </w:t>
      </w:r>
      <w:r w:rsidR="009F5F90" w:rsidRPr="00517164">
        <w:rPr>
          <w:rFonts w:ascii="Times New Roman" w:hAnsi="Times New Roman" w:cs="Times New Roman"/>
          <w:sz w:val="28"/>
          <w:szCs w:val="28"/>
        </w:rPr>
        <w:t>за №</w:t>
      </w:r>
      <w:r w:rsidR="00E657A2" w:rsidRPr="00517164">
        <w:rPr>
          <w:rFonts w:ascii="Times New Roman" w:hAnsi="Times New Roman" w:cs="Times New Roman"/>
          <w:sz w:val="28"/>
          <w:szCs w:val="28"/>
        </w:rPr>
        <w:t> </w:t>
      </w:r>
      <w:r w:rsidR="009F5F90" w:rsidRPr="00517164">
        <w:rPr>
          <w:rFonts w:ascii="Times New Roman" w:hAnsi="Times New Roman" w:cs="Times New Roman"/>
          <w:sz w:val="28"/>
          <w:szCs w:val="28"/>
        </w:rPr>
        <w:t>976/30844</w:t>
      </w:r>
      <w:r w:rsidR="00227539" w:rsidRPr="00517164">
        <w:rPr>
          <w:rFonts w:ascii="Times New Roman" w:hAnsi="Times New Roman" w:cs="Times New Roman"/>
          <w:sz w:val="28"/>
          <w:szCs w:val="28"/>
        </w:rPr>
        <w:t>.</w:t>
      </w:r>
    </w:p>
    <w:p w:rsidR="00EB0B08" w:rsidRPr="00517164" w:rsidRDefault="00EB0B08" w:rsidP="00384541">
      <w:pPr>
        <w:spacing w:after="0" w:line="240" w:lineRule="auto"/>
        <w:ind w:firstLine="567"/>
        <w:jc w:val="both"/>
        <w:rPr>
          <w:rFonts w:ascii="Times New Roman" w:hAnsi="Times New Roman" w:cs="Times New Roman"/>
          <w:sz w:val="28"/>
          <w:szCs w:val="28"/>
        </w:rPr>
      </w:pPr>
    </w:p>
    <w:p w:rsidR="00C366DE" w:rsidRPr="00517164" w:rsidRDefault="0013217B" w:rsidP="00384541">
      <w:pPr>
        <w:spacing w:after="0" w:line="240" w:lineRule="auto"/>
        <w:ind w:firstLine="567"/>
        <w:rPr>
          <w:rFonts w:ascii="Times New Roman" w:hAnsi="Times New Roman" w:cs="Times New Roman"/>
          <w:sz w:val="28"/>
          <w:szCs w:val="28"/>
        </w:rPr>
      </w:pPr>
      <w:r w:rsidRPr="00517164">
        <w:rPr>
          <w:rFonts w:ascii="Times New Roman" w:hAnsi="Times New Roman" w:cs="Times New Roman"/>
          <w:sz w:val="28"/>
          <w:szCs w:val="28"/>
        </w:rPr>
        <w:t>О</w:t>
      </w:r>
      <w:r w:rsidR="00C366DE" w:rsidRPr="00517164">
        <w:rPr>
          <w:rFonts w:ascii="Times New Roman" w:hAnsi="Times New Roman" w:cs="Times New Roman"/>
          <w:sz w:val="28"/>
          <w:szCs w:val="28"/>
        </w:rPr>
        <w:t>сновні групи (підгрупи), на які проблема справляє вплив:</w:t>
      </w:r>
    </w:p>
    <w:p w:rsidR="005077F2" w:rsidRPr="00517164" w:rsidRDefault="005077F2" w:rsidP="00384541">
      <w:pPr>
        <w:spacing w:after="0" w:line="240" w:lineRule="auto"/>
        <w:ind w:firstLine="567"/>
        <w:rPr>
          <w:rFonts w:ascii="Times New Roman" w:hAnsi="Times New Roman" w:cs="Times New Roman"/>
          <w:sz w:val="16"/>
          <w:szCs w:val="16"/>
        </w:rPr>
      </w:pPr>
    </w:p>
    <w:p w:rsidR="00B85DDA" w:rsidRPr="00517164" w:rsidRDefault="00B85DDA" w:rsidP="00384541">
      <w:pPr>
        <w:spacing w:after="0" w:line="240" w:lineRule="auto"/>
        <w:ind w:firstLine="567"/>
        <w:rPr>
          <w:rFonts w:ascii="Times New Roman" w:hAnsi="Times New Roman" w:cs="Times New Roman"/>
          <w:sz w:val="16"/>
          <w:szCs w:val="16"/>
        </w:rPr>
      </w:pPr>
    </w:p>
    <w:tbl>
      <w:tblPr>
        <w:tblStyle w:val="a4"/>
        <w:tblW w:w="0" w:type="auto"/>
        <w:tblLook w:val="04A0" w:firstRow="1" w:lastRow="0" w:firstColumn="1" w:lastColumn="0" w:noHBand="0" w:noVBand="1"/>
      </w:tblPr>
      <w:tblGrid>
        <w:gridCol w:w="3766"/>
        <w:gridCol w:w="3075"/>
        <w:gridCol w:w="2900"/>
      </w:tblGrid>
      <w:tr w:rsidR="00C366DE" w:rsidRPr="00517164" w:rsidTr="00EB0B08">
        <w:tc>
          <w:tcPr>
            <w:tcW w:w="3793" w:type="dxa"/>
          </w:tcPr>
          <w:p w:rsidR="00C366DE" w:rsidRPr="00517164" w:rsidRDefault="0013217B" w:rsidP="00E92565">
            <w:pPr>
              <w:jc w:val="center"/>
              <w:rPr>
                <w:rFonts w:ascii="Times New Roman" w:hAnsi="Times New Roman" w:cs="Times New Roman"/>
                <w:sz w:val="28"/>
                <w:szCs w:val="28"/>
              </w:rPr>
            </w:pPr>
            <w:r w:rsidRPr="00517164">
              <w:rPr>
                <w:rFonts w:ascii="Times New Roman" w:hAnsi="Times New Roman" w:cs="Times New Roman"/>
                <w:sz w:val="28"/>
                <w:szCs w:val="28"/>
              </w:rPr>
              <w:lastRenderedPageBreak/>
              <w:t>Групи (підгрупи)</w:t>
            </w:r>
          </w:p>
        </w:tc>
        <w:tc>
          <w:tcPr>
            <w:tcW w:w="3118" w:type="dxa"/>
          </w:tcPr>
          <w:p w:rsidR="00C366DE" w:rsidRPr="00517164" w:rsidRDefault="0013217B" w:rsidP="00E92565">
            <w:pPr>
              <w:jc w:val="center"/>
              <w:rPr>
                <w:rFonts w:ascii="Times New Roman" w:hAnsi="Times New Roman" w:cs="Times New Roman"/>
                <w:sz w:val="28"/>
                <w:szCs w:val="28"/>
              </w:rPr>
            </w:pPr>
            <w:r w:rsidRPr="00517164">
              <w:rPr>
                <w:rFonts w:ascii="Times New Roman" w:hAnsi="Times New Roman" w:cs="Times New Roman"/>
                <w:sz w:val="28"/>
                <w:szCs w:val="28"/>
              </w:rPr>
              <w:t>Так</w:t>
            </w:r>
          </w:p>
        </w:tc>
        <w:tc>
          <w:tcPr>
            <w:tcW w:w="2943" w:type="dxa"/>
          </w:tcPr>
          <w:p w:rsidR="00C366DE" w:rsidRPr="00517164" w:rsidRDefault="0013217B" w:rsidP="00E92565">
            <w:pPr>
              <w:jc w:val="center"/>
              <w:rPr>
                <w:rFonts w:ascii="Times New Roman" w:hAnsi="Times New Roman" w:cs="Times New Roman"/>
                <w:sz w:val="28"/>
                <w:szCs w:val="28"/>
              </w:rPr>
            </w:pPr>
            <w:r w:rsidRPr="00517164">
              <w:rPr>
                <w:rFonts w:ascii="Times New Roman" w:hAnsi="Times New Roman" w:cs="Times New Roman"/>
                <w:sz w:val="28"/>
                <w:szCs w:val="28"/>
              </w:rPr>
              <w:t>Ні</w:t>
            </w:r>
          </w:p>
        </w:tc>
      </w:tr>
      <w:tr w:rsidR="00C366DE" w:rsidRPr="00517164" w:rsidTr="00EB0B08">
        <w:tc>
          <w:tcPr>
            <w:tcW w:w="3793" w:type="dxa"/>
          </w:tcPr>
          <w:p w:rsidR="00C366DE" w:rsidRPr="00517164" w:rsidRDefault="0013217B" w:rsidP="00E92565">
            <w:pPr>
              <w:rPr>
                <w:rFonts w:ascii="Times New Roman" w:hAnsi="Times New Roman" w:cs="Times New Roman"/>
                <w:sz w:val="28"/>
                <w:szCs w:val="28"/>
              </w:rPr>
            </w:pPr>
            <w:r w:rsidRPr="00517164">
              <w:rPr>
                <w:rFonts w:ascii="Times New Roman" w:hAnsi="Times New Roman" w:cs="Times New Roman"/>
                <w:sz w:val="28"/>
                <w:szCs w:val="28"/>
              </w:rPr>
              <w:t>Громадяни</w:t>
            </w:r>
          </w:p>
        </w:tc>
        <w:tc>
          <w:tcPr>
            <w:tcW w:w="3118" w:type="dxa"/>
          </w:tcPr>
          <w:p w:rsidR="00C366DE" w:rsidRPr="00517164" w:rsidRDefault="00AC5469" w:rsidP="00E92565">
            <w:pPr>
              <w:ind w:left="62"/>
              <w:jc w:val="center"/>
              <w:rPr>
                <w:rFonts w:ascii="Times New Roman" w:hAnsi="Times New Roman" w:cs="Times New Roman"/>
                <w:sz w:val="28"/>
                <w:szCs w:val="28"/>
              </w:rPr>
            </w:pPr>
            <w:r w:rsidRPr="00517164">
              <w:rPr>
                <w:rFonts w:ascii="Times New Roman" w:hAnsi="Times New Roman" w:cs="Times New Roman"/>
                <w:sz w:val="28"/>
                <w:szCs w:val="28"/>
              </w:rPr>
              <w:t>–</w:t>
            </w:r>
          </w:p>
        </w:tc>
        <w:tc>
          <w:tcPr>
            <w:tcW w:w="2943" w:type="dxa"/>
          </w:tcPr>
          <w:p w:rsidR="00AC5469" w:rsidRPr="00517164" w:rsidRDefault="00EB0B08" w:rsidP="00E92565">
            <w:pPr>
              <w:ind w:left="62"/>
              <w:jc w:val="center"/>
              <w:rPr>
                <w:rFonts w:ascii="Times New Roman" w:hAnsi="Times New Roman" w:cs="Times New Roman"/>
                <w:sz w:val="28"/>
                <w:szCs w:val="28"/>
              </w:rPr>
            </w:pPr>
            <w:r w:rsidRPr="00517164">
              <w:rPr>
                <w:rFonts w:ascii="Times New Roman" w:hAnsi="Times New Roman" w:cs="Times New Roman"/>
                <w:sz w:val="28"/>
                <w:szCs w:val="28"/>
              </w:rPr>
              <w:t>+</w:t>
            </w:r>
          </w:p>
        </w:tc>
      </w:tr>
      <w:tr w:rsidR="00C366DE" w:rsidRPr="00517164" w:rsidTr="00EB0B08">
        <w:tc>
          <w:tcPr>
            <w:tcW w:w="3793" w:type="dxa"/>
          </w:tcPr>
          <w:p w:rsidR="00C366DE" w:rsidRPr="00517164" w:rsidRDefault="0013217B" w:rsidP="00E92565">
            <w:pPr>
              <w:rPr>
                <w:rFonts w:ascii="Times New Roman" w:hAnsi="Times New Roman" w:cs="Times New Roman"/>
                <w:sz w:val="28"/>
                <w:szCs w:val="28"/>
              </w:rPr>
            </w:pPr>
            <w:r w:rsidRPr="00517164">
              <w:rPr>
                <w:rFonts w:ascii="Times New Roman" w:hAnsi="Times New Roman" w:cs="Times New Roman"/>
                <w:sz w:val="28"/>
                <w:szCs w:val="28"/>
              </w:rPr>
              <w:t>Держава</w:t>
            </w:r>
          </w:p>
        </w:tc>
        <w:tc>
          <w:tcPr>
            <w:tcW w:w="3118" w:type="dxa"/>
          </w:tcPr>
          <w:p w:rsidR="00C366DE" w:rsidRPr="00517164" w:rsidRDefault="00FB12EF" w:rsidP="00E92565">
            <w:pPr>
              <w:ind w:left="62"/>
              <w:jc w:val="center"/>
              <w:rPr>
                <w:rFonts w:ascii="Times New Roman" w:hAnsi="Times New Roman" w:cs="Times New Roman"/>
                <w:sz w:val="28"/>
                <w:szCs w:val="28"/>
              </w:rPr>
            </w:pPr>
            <w:r w:rsidRPr="00517164">
              <w:rPr>
                <w:rFonts w:ascii="Times New Roman" w:hAnsi="Times New Roman" w:cs="Times New Roman"/>
                <w:sz w:val="28"/>
                <w:szCs w:val="28"/>
              </w:rPr>
              <w:t>+</w:t>
            </w:r>
          </w:p>
        </w:tc>
        <w:tc>
          <w:tcPr>
            <w:tcW w:w="2943" w:type="dxa"/>
          </w:tcPr>
          <w:p w:rsidR="00C366DE" w:rsidRPr="00517164" w:rsidRDefault="00AC5469" w:rsidP="00E92565">
            <w:pPr>
              <w:ind w:left="62"/>
              <w:jc w:val="center"/>
              <w:rPr>
                <w:rFonts w:ascii="Times New Roman" w:hAnsi="Times New Roman" w:cs="Times New Roman"/>
                <w:sz w:val="28"/>
                <w:szCs w:val="28"/>
              </w:rPr>
            </w:pPr>
            <w:r w:rsidRPr="00517164">
              <w:rPr>
                <w:rFonts w:ascii="Times New Roman" w:hAnsi="Times New Roman" w:cs="Times New Roman"/>
                <w:sz w:val="28"/>
                <w:szCs w:val="28"/>
              </w:rPr>
              <w:t>–</w:t>
            </w:r>
          </w:p>
        </w:tc>
      </w:tr>
      <w:tr w:rsidR="00C366DE" w:rsidRPr="00517164" w:rsidTr="00EB0B08">
        <w:tc>
          <w:tcPr>
            <w:tcW w:w="3793" w:type="dxa"/>
          </w:tcPr>
          <w:p w:rsidR="00C366DE" w:rsidRPr="00517164" w:rsidRDefault="006B077A" w:rsidP="00E92565">
            <w:pPr>
              <w:rPr>
                <w:rFonts w:ascii="Times New Roman" w:hAnsi="Times New Roman" w:cs="Times New Roman"/>
                <w:sz w:val="28"/>
                <w:szCs w:val="28"/>
              </w:rPr>
            </w:pPr>
            <w:r w:rsidRPr="00517164">
              <w:rPr>
                <w:rFonts w:ascii="Times New Roman" w:hAnsi="Times New Roman" w:cs="Times New Roman"/>
                <w:sz w:val="28"/>
                <w:szCs w:val="28"/>
              </w:rPr>
              <w:t>Суб’</w:t>
            </w:r>
            <w:r w:rsidR="009671CF" w:rsidRPr="00517164">
              <w:rPr>
                <w:rFonts w:ascii="Times New Roman" w:hAnsi="Times New Roman" w:cs="Times New Roman"/>
                <w:sz w:val="28"/>
                <w:szCs w:val="28"/>
              </w:rPr>
              <w:t xml:space="preserve">єкти </w:t>
            </w:r>
            <w:r w:rsidR="0013217B" w:rsidRPr="00517164">
              <w:rPr>
                <w:rFonts w:ascii="Times New Roman" w:hAnsi="Times New Roman" w:cs="Times New Roman"/>
                <w:sz w:val="28"/>
                <w:szCs w:val="28"/>
              </w:rPr>
              <w:t>господарювання,</w:t>
            </w:r>
          </w:p>
        </w:tc>
        <w:tc>
          <w:tcPr>
            <w:tcW w:w="3118" w:type="dxa"/>
          </w:tcPr>
          <w:p w:rsidR="00C366DE" w:rsidRPr="00517164" w:rsidRDefault="00FB12EF" w:rsidP="00E92565">
            <w:pPr>
              <w:ind w:left="62"/>
              <w:jc w:val="center"/>
              <w:rPr>
                <w:rFonts w:ascii="Times New Roman" w:hAnsi="Times New Roman" w:cs="Times New Roman"/>
                <w:sz w:val="28"/>
                <w:szCs w:val="28"/>
              </w:rPr>
            </w:pPr>
            <w:r w:rsidRPr="00517164">
              <w:rPr>
                <w:rFonts w:ascii="Times New Roman" w:hAnsi="Times New Roman" w:cs="Times New Roman"/>
                <w:sz w:val="28"/>
                <w:szCs w:val="28"/>
              </w:rPr>
              <w:t>+</w:t>
            </w:r>
          </w:p>
        </w:tc>
        <w:tc>
          <w:tcPr>
            <w:tcW w:w="2943" w:type="dxa"/>
          </w:tcPr>
          <w:p w:rsidR="00C366DE" w:rsidRPr="00517164" w:rsidRDefault="00AC5469" w:rsidP="00E92565">
            <w:pPr>
              <w:ind w:left="62"/>
              <w:jc w:val="center"/>
              <w:rPr>
                <w:rFonts w:ascii="Times New Roman" w:hAnsi="Times New Roman" w:cs="Times New Roman"/>
                <w:sz w:val="28"/>
                <w:szCs w:val="28"/>
              </w:rPr>
            </w:pPr>
            <w:r w:rsidRPr="00517164">
              <w:rPr>
                <w:rFonts w:ascii="Times New Roman" w:hAnsi="Times New Roman" w:cs="Times New Roman"/>
                <w:sz w:val="28"/>
                <w:szCs w:val="28"/>
              </w:rPr>
              <w:t>–</w:t>
            </w:r>
          </w:p>
        </w:tc>
      </w:tr>
      <w:tr w:rsidR="00C366DE" w:rsidRPr="00517164" w:rsidTr="00EB0B08">
        <w:tc>
          <w:tcPr>
            <w:tcW w:w="3793" w:type="dxa"/>
          </w:tcPr>
          <w:p w:rsidR="00C366DE" w:rsidRPr="00517164" w:rsidRDefault="0013217B" w:rsidP="00E92565">
            <w:pPr>
              <w:rPr>
                <w:rFonts w:ascii="Times New Roman" w:hAnsi="Times New Roman" w:cs="Times New Roman"/>
                <w:sz w:val="28"/>
                <w:szCs w:val="28"/>
              </w:rPr>
            </w:pPr>
            <w:r w:rsidRPr="00517164">
              <w:rPr>
                <w:rFonts w:ascii="Times New Roman" w:hAnsi="Times New Roman" w:cs="Times New Roman"/>
                <w:sz w:val="28"/>
                <w:szCs w:val="28"/>
              </w:rPr>
              <w:t>у тому числі</w:t>
            </w:r>
            <w:r w:rsidR="006B077A" w:rsidRPr="00517164">
              <w:rPr>
                <w:rFonts w:ascii="Times New Roman" w:hAnsi="Times New Roman" w:cs="Times New Roman"/>
                <w:sz w:val="28"/>
                <w:szCs w:val="28"/>
              </w:rPr>
              <w:t xml:space="preserve"> суб’</w:t>
            </w:r>
            <w:r w:rsidRPr="00517164">
              <w:rPr>
                <w:rFonts w:ascii="Times New Roman" w:hAnsi="Times New Roman" w:cs="Times New Roman"/>
                <w:sz w:val="28"/>
                <w:szCs w:val="28"/>
              </w:rPr>
              <w:t>єкти малого підприємництв</w:t>
            </w:r>
            <w:r w:rsidR="00A4500D" w:rsidRPr="00517164">
              <w:rPr>
                <w:rFonts w:ascii="Times New Roman" w:hAnsi="Times New Roman" w:cs="Times New Roman"/>
                <w:sz w:val="28"/>
                <w:szCs w:val="28"/>
              </w:rPr>
              <w:t>а*</w:t>
            </w:r>
          </w:p>
        </w:tc>
        <w:tc>
          <w:tcPr>
            <w:tcW w:w="3118" w:type="dxa"/>
          </w:tcPr>
          <w:p w:rsidR="00C366DE" w:rsidRPr="00517164" w:rsidRDefault="001D324D" w:rsidP="00E92565">
            <w:pPr>
              <w:ind w:left="62"/>
              <w:jc w:val="center"/>
              <w:rPr>
                <w:rFonts w:ascii="Times New Roman" w:hAnsi="Times New Roman" w:cs="Times New Roman"/>
                <w:sz w:val="28"/>
                <w:szCs w:val="28"/>
                <w:lang w:val="en-US"/>
              </w:rPr>
            </w:pPr>
            <w:r w:rsidRPr="00517164">
              <w:rPr>
                <w:rFonts w:ascii="Times New Roman" w:hAnsi="Times New Roman" w:cs="Times New Roman"/>
                <w:sz w:val="28"/>
                <w:szCs w:val="28"/>
                <w:lang w:val="en-US"/>
              </w:rPr>
              <w:t>–</w:t>
            </w:r>
          </w:p>
        </w:tc>
        <w:tc>
          <w:tcPr>
            <w:tcW w:w="2943" w:type="dxa"/>
          </w:tcPr>
          <w:p w:rsidR="00C366DE" w:rsidRPr="00517164" w:rsidRDefault="009F5F90" w:rsidP="00E92565">
            <w:pPr>
              <w:ind w:left="62"/>
              <w:jc w:val="center"/>
              <w:rPr>
                <w:rFonts w:ascii="Times New Roman" w:hAnsi="Times New Roman" w:cs="Times New Roman"/>
                <w:sz w:val="28"/>
                <w:szCs w:val="28"/>
              </w:rPr>
            </w:pPr>
            <w:r w:rsidRPr="00517164">
              <w:rPr>
                <w:rFonts w:ascii="Times New Roman" w:hAnsi="Times New Roman" w:cs="Times New Roman"/>
                <w:sz w:val="28"/>
                <w:szCs w:val="28"/>
              </w:rPr>
              <w:t>+</w:t>
            </w:r>
          </w:p>
        </w:tc>
      </w:tr>
    </w:tbl>
    <w:p w:rsidR="003A46B4" w:rsidRPr="00517164" w:rsidRDefault="003A46B4" w:rsidP="00384541">
      <w:pPr>
        <w:pStyle w:val="a5"/>
        <w:keepNext/>
        <w:spacing w:before="0" w:beforeAutospacing="0" w:after="0" w:afterAutospacing="0"/>
        <w:ind w:firstLine="567"/>
        <w:jc w:val="both"/>
        <w:rPr>
          <w:sz w:val="16"/>
          <w:szCs w:val="16"/>
          <w:lang w:val="ru-RU"/>
        </w:rPr>
      </w:pPr>
    </w:p>
    <w:p w:rsidR="00B85DDA" w:rsidRPr="00517164" w:rsidRDefault="00B85DDA" w:rsidP="00384541">
      <w:pPr>
        <w:pStyle w:val="a5"/>
        <w:keepNext/>
        <w:spacing w:before="0" w:beforeAutospacing="0" w:after="0" w:afterAutospacing="0"/>
        <w:ind w:firstLine="567"/>
        <w:jc w:val="both"/>
        <w:rPr>
          <w:lang w:val="ru-RU"/>
        </w:rPr>
      </w:pPr>
    </w:p>
    <w:p w:rsidR="00D117F5" w:rsidRPr="00517164" w:rsidRDefault="00A4500D"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Врегулювання зазначеного питання не може бути здійснено за допомогою</w:t>
      </w:r>
      <w:r w:rsidR="00D117F5" w:rsidRPr="00517164">
        <w:rPr>
          <w:rFonts w:ascii="Times New Roman" w:hAnsi="Times New Roman" w:cs="Times New Roman"/>
          <w:sz w:val="28"/>
          <w:szCs w:val="28"/>
        </w:rPr>
        <w:t>:</w:t>
      </w:r>
    </w:p>
    <w:p w:rsidR="00A4500D" w:rsidRPr="00517164" w:rsidRDefault="00A4500D"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ринкових механізмів, оскільки та</w:t>
      </w:r>
      <w:r w:rsidR="00692A49" w:rsidRPr="00517164">
        <w:rPr>
          <w:rFonts w:ascii="Times New Roman" w:hAnsi="Times New Roman" w:cs="Times New Roman"/>
          <w:sz w:val="28"/>
          <w:szCs w:val="28"/>
        </w:rPr>
        <w:t>кі питання регулюються виключно нормативно-</w:t>
      </w:r>
      <w:r w:rsidRPr="00517164">
        <w:rPr>
          <w:rFonts w:ascii="Times New Roman" w:hAnsi="Times New Roman" w:cs="Times New Roman"/>
          <w:sz w:val="28"/>
          <w:szCs w:val="28"/>
        </w:rPr>
        <w:t>правовими актами</w:t>
      </w:r>
      <w:r w:rsidR="00D117F5" w:rsidRPr="00517164">
        <w:rPr>
          <w:rFonts w:ascii="Times New Roman" w:hAnsi="Times New Roman" w:cs="Times New Roman"/>
          <w:sz w:val="28"/>
          <w:szCs w:val="28"/>
        </w:rPr>
        <w:t>;</w:t>
      </w:r>
    </w:p>
    <w:p w:rsidR="00D117F5" w:rsidRPr="00517164" w:rsidRDefault="00797C61"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чинних</w:t>
      </w:r>
      <w:r w:rsidR="00D117F5" w:rsidRPr="00517164">
        <w:rPr>
          <w:rFonts w:ascii="Times New Roman" w:hAnsi="Times New Roman" w:cs="Times New Roman"/>
          <w:sz w:val="28"/>
          <w:szCs w:val="28"/>
        </w:rPr>
        <w:t xml:space="preserve"> регуляторних актів, оскільки вони не відповідають актам вищої юридичної сили.</w:t>
      </w:r>
    </w:p>
    <w:p w:rsidR="00B528C2" w:rsidRPr="00517164" w:rsidRDefault="00B528C2" w:rsidP="00384541">
      <w:pPr>
        <w:spacing w:after="0" w:line="240" w:lineRule="auto"/>
        <w:ind w:firstLine="567"/>
        <w:jc w:val="both"/>
        <w:rPr>
          <w:rFonts w:ascii="Times New Roman" w:hAnsi="Times New Roman" w:cs="Times New Roman"/>
          <w:sz w:val="28"/>
          <w:szCs w:val="28"/>
        </w:rPr>
      </w:pPr>
    </w:p>
    <w:p w:rsidR="00197A4B" w:rsidRPr="00517164" w:rsidRDefault="00197A4B" w:rsidP="00384541">
      <w:pPr>
        <w:spacing w:after="0" w:line="240" w:lineRule="auto"/>
        <w:ind w:firstLine="567"/>
        <w:jc w:val="both"/>
        <w:rPr>
          <w:rFonts w:ascii="Times New Roman" w:hAnsi="Times New Roman" w:cs="Times New Roman"/>
          <w:b/>
          <w:sz w:val="28"/>
          <w:szCs w:val="28"/>
        </w:rPr>
      </w:pPr>
      <w:r w:rsidRPr="00517164">
        <w:rPr>
          <w:rFonts w:ascii="Times New Roman" w:hAnsi="Times New Roman" w:cs="Times New Roman"/>
          <w:b/>
          <w:sz w:val="28"/>
          <w:szCs w:val="28"/>
        </w:rPr>
        <w:t>II. Цілі державного регулювання</w:t>
      </w:r>
    </w:p>
    <w:p w:rsidR="00197A4B" w:rsidRPr="00517164" w:rsidRDefault="00197A4B" w:rsidP="00384541">
      <w:pPr>
        <w:spacing w:after="0" w:line="240" w:lineRule="auto"/>
        <w:ind w:firstLine="567"/>
        <w:jc w:val="both"/>
        <w:rPr>
          <w:rFonts w:ascii="Times New Roman" w:hAnsi="Times New Roman" w:cs="Times New Roman"/>
          <w:sz w:val="28"/>
          <w:szCs w:val="28"/>
        </w:rPr>
      </w:pPr>
    </w:p>
    <w:p w:rsidR="00197A4B" w:rsidRPr="00517164" w:rsidRDefault="00D60065"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Метою підготовки проекту наказу є</w:t>
      </w:r>
      <w:r w:rsidR="00197A4B" w:rsidRPr="00517164">
        <w:rPr>
          <w:rFonts w:ascii="Times New Roman" w:hAnsi="Times New Roman" w:cs="Times New Roman"/>
          <w:sz w:val="28"/>
          <w:szCs w:val="28"/>
        </w:rPr>
        <w:t>:</w:t>
      </w:r>
    </w:p>
    <w:p w:rsidR="006B077A" w:rsidRPr="00517164" w:rsidRDefault="006B077A"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виконання вимог Кодексу;</w:t>
      </w:r>
    </w:p>
    <w:p w:rsidR="00615BF2" w:rsidRPr="00517164" w:rsidRDefault="00364878"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з</w:t>
      </w:r>
      <w:r w:rsidR="00F50695" w:rsidRPr="00517164">
        <w:rPr>
          <w:rFonts w:ascii="Times New Roman" w:hAnsi="Times New Roman" w:cs="Times New Roman"/>
          <w:sz w:val="28"/>
          <w:szCs w:val="28"/>
        </w:rPr>
        <w:t xml:space="preserve">атвердження </w:t>
      </w:r>
      <w:r w:rsidR="003A46B4" w:rsidRPr="00517164">
        <w:rPr>
          <w:rFonts w:ascii="Times New Roman" w:hAnsi="Times New Roman" w:cs="Times New Roman"/>
          <w:sz w:val="28"/>
          <w:szCs w:val="28"/>
        </w:rPr>
        <w:t>Порядку повернення коштів авансових платежів (передоплати) з «єдиного рахунку»;</w:t>
      </w:r>
    </w:p>
    <w:p w:rsidR="00615BF2" w:rsidRPr="00517164" w:rsidRDefault="003A46B4"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вдосконалення процедури повернення</w:t>
      </w:r>
      <w:r w:rsidRPr="00517164">
        <w:rPr>
          <w:rFonts w:ascii="Times New Roman" w:hAnsi="Times New Roman" w:cs="Times New Roman"/>
          <w:b/>
          <w:bCs/>
          <w:sz w:val="28"/>
          <w:szCs w:val="28"/>
        </w:rPr>
        <w:t xml:space="preserve"> </w:t>
      </w:r>
      <w:r w:rsidRPr="00517164">
        <w:rPr>
          <w:rFonts w:ascii="Times New Roman" w:hAnsi="Times New Roman" w:cs="Times New Roman"/>
          <w:bCs/>
          <w:sz w:val="28"/>
          <w:szCs w:val="28"/>
        </w:rPr>
        <w:t>помилково та/або надміру сп</w:t>
      </w:r>
      <w:r w:rsidR="001C1869" w:rsidRPr="00517164">
        <w:rPr>
          <w:rFonts w:ascii="Times New Roman" w:hAnsi="Times New Roman" w:cs="Times New Roman"/>
          <w:bCs/>
          <w:sz w:val="28"/>
          <w:szCs w:val="28"/>
        </w:rPr>
        <w:t xml:space="preserve">лачених сум </w:t>
      </w:r>
      <w:r w:rsidRPr="00517164">
        <w:rPr>
          <w:rFonts w:ascii="Times New Roman" w:hAnsi="Times New Roman" w:cs="Times New Roman"/>
          <w:bCs/>
          <w:sz w:val="28"/>
          <w:szCs w:val="28"/>
        </w:rPr>
        <w:t>митних платежів</w:t>
      </w:r>
      <w:r w:rsidR="00D60065" w:rsidRPr="00517164">
        <w:rPr>
          <w:rFonts w:ascii="Times New Roman" w:hAnsi="Times New Roman" w:cs="Times New Roman"/>
          <w:sz w:val="28"/>
          <w:szCs w:val="28"/>
        </w:rPr>
        <w:t>;</w:t>
      </w:r>
    </w:p>
    <w:p w:rsidR="006B077A" w:rsidRPr="00517164" w:rsidRDefault="00D60065"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 xml:space="preserve">сприяння </w:t>
      </w:r>
      <w:r w:rsidR="003A46B4" w:rsidRPr="00517164">
        <w:rPr>
          <w:rFonts w:ascii="Times New Roman" w:hAnsi="Times New Roman" w:cs="Times New Roman"/>
          <w:sz w:val="28"/>
          <w:szCs w:val="28"/>
        </w:rPr>
        <w:t xml:space="preserve">господарській діяльності шляхом </w:t>
      </w:r>
      <w:r w:rsidR="009F5F90" w:rsidRPr="00517164">
        <w:rPr>
          <w:rFonts w:ascii="Times New Roman" w:hAnsi="Times New Roman" w:cs="Times New Roman"/>
          <w:sz w:val="28"/>
          <w:szCs w:val="28"/>
        </w:rPr>
        <w:t xml:space="preserve">прискорення </w:t>
      </w:r>
      <w:r w:rsidR="003A46B4" w:rsidRPr="00517164">
        <w:rPr>
          <w:rFonts w:ascii="Times New Roman" w:hAnsi="Times New Roman" w:cs="Times New Roman"/>
          <w:sz w:val="28"/>
          <w:szCs w:val="28"/>
        </w:rPr>
        <w:t>вивільнення коштів, що підлягають поверненню</w:t>
      </w:r>
      <w:r w:rsidR="001C1869" w:rsidRPr="00517164">
        <w:rPr>
          <w:rFonts w:ascii="Times New Roman" w:hAnsi="Times New Roman" w:cs="Times New Roman"/>
          <w:sz w:val="28"/>
          <w:szCs w:val="28"/>
        </w:rPr>
        <w:t>.</w:t>
      </w:r>
    </w:p>
    <w:p w:rsidR="00D60065" w:rsidRPr="00517164" w:rsidRDefault="00D60065" w:rsidP="00384541">
      <w:pPr>
        <w:spacing w:after="0" w:line="240" w:lineRule="auto"/>
        <w:ind w:firstLine="567"/>
        <w:jc w:val="both"/>
        <w:rPr>
          <w:rFonts w:ascii="Times New Roman" w:hAnsi="Times New Roman" w:cs="Times New Roman"/>
          <w:sz w:val="28"/>
          <w:szCs w:val="28"/>
        </w:rPr>
      </w:pPr>
    </w:p>
    <w:p w:rsidR="00B10381" w:rsidRPr="00517164" w:rsidRDefault="00C20B6B" w:rsidP="00384541">
      <w:pPr>
        <w:spacing w:after="0" w:line="240" w:lineRule="auto"/>
        <w:ind w:firstLine="567"/>
        <w:jc w:val="both"/>
        <w:rPr>
          <w:rFonts w:ascii="Times New Roman" w:hAnsi="Times New Roman" w:cs="Times New Roman"/>
          <w:b/>
          <w:sz w:val="28"/>
          <w:szCs w:val="28"/>
        </w:rPr>
      </w:pPr>
      <w:r w:rsidRPr="00517164">
        <w:rPr>
          <w:rFonts w:ascii="Times New Roman" w:hAnsi="Times New Roman" w:cs="Times New Roman"/>
          <w:b/>
          <w:sz w:val="28"/>
          <w:szCs w:val="28"/>
        </w:rPr>
        <w:t>III. Визначення та оцінка альтернативних способів досягнення цілей</w:t>
      </w:r>
    </w:p>
    <w:p w:rsidR="00A4500D" w:rsidRPr="00517164" w:rsidRDefault="00A4500D" w:rsidP="00384541">
      <w:pPr>
        <w:spacing w:after="0" w:line="240" w:lineRule="auto"/>
        <w:ind w:firstLine="567"/>
        <w:jc w:val="both"/>
        <w:rPr>
          <w:rFonts w:ascii="Times New Roman" w:hAnsi="Times New Roman" w:cs="Times New Roman"/>
          <w:sz w:val="28"/>
          <w:szCs w:val="28"/>
        </w:rPr>
      </w:pPr>
    </w:p>
    <w:p w:rsidR="00542D7D" w:rsidRPr="00517164" w:rsidRDefault="00542D7D"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1. Альтернативні способи досягнення цілей державного регулювання:</w:t>
      </w:r>
    </w:p>
    <w:p w:rsidR="00542D7D" w:rsidRPr="00517164" w:rsidRDefault="00542D7D" w:rsidP="00384541">
      <w:pPr>
        <w:spacing w:after="0" w:line="240" w:lineRule="auto"/>
        <w:ind w:firstLine="567"/>
        <w:jc w:val="both"/>
        <w:rPr>
          <w:rFonts w:ascii="Times New Roman" w:hAnsi="Times New Roman" w:cs="Times New Roman"/>
          <w:sz w:val="28"/>
          <w:szCs w:val="28"/>
        </w:rPr>
      </w:pPr>
    </w:p>
    <w:tbl>
      <w:tblPr>
        <w:tblStyle w:val="10"/>
        <w:tblW w:w="0" w:type="auto"/>
        <w:tblLook w:val="04A0" w:firstRow="1" w:lastRow="0" w:firstColumn="1" w:lastColumn="0" w:noHBand="0" w:noVBand="1"/>
      </w:tblPr>
      <w:tblGrid>
        <w:gridCol w:w="1946"/>
        <w:gridCol w:w="7795"/>
      </w:tblGrid>
      <w:tr w:rsidR="00542D7D" w:rsidRPr="00517164" w:rsidTr="00D94214">
        <w:tc>
          <w:tcPr>
            <w:tcW w:w="1948" w:type="dxa"/>
            <w:vAlign w:val="center"/>
          </w:tcPr>
          <w:p w:rsidR="00542D7D" w:rsidRPr="00517164" w:rsidRDefault="00542D7D" w:rsidP="00E92565">
            <w:pPr>
              <w:keepNext/>
              <w:jc w:val="center"/>
              <w:rPr>
                <w:color w:val="000000"/>
                <w:sz w:val="28"/>
                <w:szCs w:val="28"/>
                <w:lang w:val="ru-RU" w:eastAsia="ru-RU"/>
              </w:rPr>
            </w:pPr>
            <w:r w:rsidRPr="00517164">
              <w:rPr>
                <w:color w:val="000000"/>
                <w:sz w:val="24"/>
                <w:szCs w:val="24"/>
                <w:lang w:eastAsia="ru-RU"/>
              </w:rPr>
              <w:t>Вид альтернативи</w:t>
            </w:r>
          </w:p>
        </w:tc>
        <w:tc>
          <w:tcPr>
            <w:tcW w:w="7906" w:type="dxa"/>
            <w:vAlign w:val="center"/>
          </w:tcPr>
          <w:p w:rsidR="00542D7D" w:rsidRPr="00517164" w:rsidRDefault="00542D7D" w:rsidP="00384541">
            <w:pPr>
              <w:keepNext/>
              <w:ind w:firstLine="567"/>
              <w:jc w:val="center"/>
              <w:rPr>
                <w:color w:val="000000"/>
                <w:sz w:val="28"/>
                <w:szCs w:val="28"/>
                <w:lang w:val="ru-RU" w:eastAsia="ru-RU"/>
              </w:rPr>
            </w:pPr>
            <w:r w:rsidRPr="00517164">
              <w:rPr>
                <w:color w:val="000000"/>
                <w:sz w:val="24"/>
                <w:szCs w:val="24"/>
                <w:lang w:eastAsia="ru-RU"/>
              </w:rPr>
              <w:t>Опис альтернативи</w:t>
            </w:r>
          </w:p>
        </w:tc>
      </w:tr>
      <w:tr w:rsidR="00542D7D" w:rsidRPr="00517164" w:rsidTr="00D94214">
        <w:tc>
          <w:tcPr>
            <w:tcW w:w="1948" w:type="dxa"/>
            <w:vAlign w:val="center"/>
          </w:tcPr>
          <w:p w:rsidR="00542D7D" w:rsidRPr="00517164" w:rsidRDefault="00542D7D" w:rsidP="00E92565">
            <w:pPr>
              <w:keepNext/>
              <w:jc w:val="center"/>
              <w:rPr>
                <w:color w:val="000000"/>
                <w:sz w:val="28"/>
                <w:szCs w:val="28"/>
                <w:lang w:val="ru-RU" w:eastAsia="ru-RU"/>
              </w:rPr>
            </w:pPr>
            <w:r w:rsidRPr="00517164">
              <w:rPr>
                <w:color w:val="000000"/>
                <w:sz w:val="24"/>
                <w:szCs w:val="24"/>
                <w:lang w:eastAsia="ru-RU"/>
              </w:rPr>
              <w:t>Альтернатива 1</w:t>
            </w:r>
          </w:p>
        </w:tc>
        <w:tc>
          <w:tcPr>
            <w:tcW w:w="7906" w:type="dxa"/>
          </w:tcPr>
          <w:p w:rsidR="00667CDE" w:rsidRPr="00517164" w:rsidRDefault="00691E4C" w:rsidP="00E92565">
            <w:pPr>
              <w:ind w:firstLine="322"/>
              <w:jc w:val="both"/>
              <w:rPr>
                <w:color w:val="000000"/>
                <w:sz w:val="24"/>
                <w:szCs w:val="24"/>
                <w:lang w:eastAsia="ru-RU"/>
              </w:rPr>
            </w:pPr>
            <w:r w:rsidRPr="00517164">
              <w:rPr>
                <w:color w:val="000000"/>
                <w:sz w:val="24"/>
                <w:szCs w:val="24"/>
                <w:lang w:eastAsia="ru-RU"/>
              </w:rPr>
              <w:t>Прийняти наказ Міністерства фінансів України «Про затвердження Змін до Порядку повернення авансових платежів (передоплати) і помилково та/або надміру сплачених сум митних платежів»</w:t>
            </w:r>
            <w:r w:rsidR="00694C6B" w:rsidRPr="00517164">
              <w:rPr>
                <w:color w:val="000000"/>
                <w:sz w:val="24"/>
                <w:szCs w:val="24"/>
                <w:lang w:eastAsia="ru-RU"/>
              </w:rPr>
              <w:t xml:space="preserve"> для нормативно-правового врегулювання механізму (процедури) </w:t>
            </w:r>
            <w:r w:rsidRPr="00517164">
              <w:rPr>
                <w:color w:val="000000"/>
                <w:sz w:val="24"/>
                <w:szCs w:val="24"/>
                <w:lang w:eastAsia="ru-RU"/>
              </w:rPr>
              <w:t xml:space="preserve">повернення коштів  авансових платежів суб’єктами господарювання </w:t>
            </w:r>
            <w:r w:rsidR="006F2C78" w:rsidRPr="00517164">
              <w:rPr>
                <w:color w:val="000000"/>
                <w:sz w:val="24"/>
                <w:szCs w:val="24"/>
                <w:lang w:eastAsia="ru-RU"/>
              </w:rPr>
              <w:t xml:space="preserve">з «єдиного рахунку» відповідно до Митного кодексу України та </w:t>
            </w:r>
            <w:r w:rsidR="006A6074" w:rsidRPr="00517164">
              <w:rPr>
                <w:color w:val="000000"/>
                <w:sz w:val="24"/>
                <w:szCs w:val="24"/>
                <w:lang w:eastAsia="ru-RU"/>
              </w:rPr>
              <w:t>інших нормативно-правових актів</w:t>
            </w:r>
          </w:p>
        </w:tc>
      </w:tr>
      <w:tr w:rsidR="00542D7D" w:rsidRPr="00517164" w:rsidTr="00D94214">
        <w:tc>
          <w:tcPr>
            <w:tcW w:w="1948" w:type="dxa"/>
            <w:vAlign w:val="center"/>
          </w:tcPr>
          <w:p w:rsidR="00542D7D" w:rsidRPr="00517164" w:rsidRDefault="00542D7D" w:rsidP="00E92565">
            <w:pPr>
              <w:keepNext/>
              <w:jc w:val="center"/>
              <w:rPr>
                <w:color w:val="000000"/>
                <w:sz w:val="28"/>
                <w:szCs w:val="28"/>
                <w:lang w:val="ru-RU" w:eastAsia="ru-RU"/>
              </w:rPr>
            </w:pPr>
            <w:r w:rsidRPr="00517164">
              <w:rPr>
                <w:color w:val="000000"/>
                <w:sz w:val="24"/>
                <w:szCs w:val="24"/>
                <w:lang w:eastAsia="ru-RU"/>
              </w:rPr>
              <w:t>Альтернатива </w:t>
            </w:r>
            <w:r w:rsidRPr="00517164">
              <w:rPr>
                <w:color w:val="000000"/>
                <w:sz w:val="24"/>
                <w:szCs w:val="24"/>
                <w:lang w:val="ru-RU" w:eastAsia="ru-RU"/>
              </w:rPr>
              <w:t>2</w:t>
            </w:r>
          </w:p>
        </w:tc>
        <w:tc>
          <w:tcPr>
            <w:tcW w:w="7906" w:type="dxa"/>
          </w:tcPr>
          <w:p w:rsidR="00542D7D" w:rsidRPr="00517164" w:rsidRDefault="00FA465A" w:rsidP="00E92565">
            <w:pPr>
              <w:keepNext/>
              <w:ind w:firstLine="322"/>
              <w:jc w:val="both"/>
              <w:rPr>
                <w:color w:val="000000"/>
                <w:sz w:val="24"/>
                <w:szCs w:val="24"/>
                <w:lang w:val="ru-RU" w:eastAsia="ru-RU"/>
              </w:rPr>
            </w:pPr>
            <w:r w:rsidRPr="00517164">
              <w:rPr>
                <w:color w:val="000000"/>
                <w:sz w:val="24"/>
                <w:szCs w:val="24"/>
                <w:lang w:eastAsia="ru-RU"/>
              </w:rPr>
              <w:t>Залишити без змін</w:t>
            </w:r>
          </w:p>
        </w:tc>
      </w:tr>
    </w:tbl>
    <w:p w:rsidR="00542D7D" w:rsidRPr="00517164" w:rsidRDefault="00542D7D" w:rsidP="00384541">
      <w:pPr>
        <w:spacing w:after="0" w:line="240" w:lineRule="auto"/>
        <w:ind w:firstLine="567"/>
        <w:jc w:val="both"/>
        <w:rPr>
          <w:rFonts w:ascii="Times New Roman" w:hAnsi="Times New Roman" w:cs="Times New Roman"/>
          <w:sz w:val="28"/>
          <w:szCs w:val="28"/>
        </w:rPr>
      </w:pPr>
    </w:p>
    <w:p w:rsidR="00B85DDA" w:rsidRPr="00517164" w:rsidRDefault="00B85DDA" w:rsidP="00384541">
      <w:pPr>
        <w:spacing w:after="0" w:line="240" w:lineRule="auto"/>
        <w:ind w:firstLine="567"/>
        <w:jc w:val="both"/>
        <w:rPr>
          <w:rFonts w:ascii="Times New Roman" w:hAnsi="Times New Roman" w:cs="Times New Roman"/>
          <w:sz w:val="28"/>
          <w:szCs w:val="28"/>
        </w:rPr>
      </w:pPr>
    </w:p>
    <w:p w:rsidR="008B3644" w:rsidRPr="00517164" w:rsidRDefault="008B3644"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2. Оцінка впливу на сферу інтересів держави</w:t>
      </w:r>
    </w:p>
    <w:tbl>
      <w:tblPr>
        <w:tblStyle w:val="2"/>
        <w:tblW w:w="0" w:type="auto"/>
        <w:tblLook w:val="04A0" w:firstRow="1" w:lastRow="0" w:firstColumn="1" w:lastColumn="0" w:noHBand="0" w:noVBand="1"/>
      </w:tblPr>
      <w:tblGrid>
        <w:gridCol w:w="1947"/>
        <w:gridCol w:w="3911"/>
        <w:gridCol w:w="3883"/>
      </w:tblGrid>
      <w:tr w:rsidR="008B3644" w:rsidRPr="00517164" w:rsidTr="00D94214">
        <w:tc>
          <w:tcPr>
            <w:tcW w:w="1951" w:type="dxa"/>
          </w:tcPr>
          <w:p w:rsidR="008B3644" w:rsidRPr="00517164" w:rsidRDefault="008B3644" w:rsidP="00E92565">
            <w:pPr>
              <w:keepNext/>
              <w:jc w:val="center"/>
              <w:rPr>
                <w:color w:val="000000"/>
                <w:sz w:val="28"/>
                <w:szCs w:val="28"/>
                <w:lang w:val="ru-RU" w:eastAsia="ru-RU"/>
              </w:rPr>
            </w:pPr>
            <w:r w:rsidRPr="00517164">
              <w:rPr>
                <w:color w:val="000000"/>
                <w:sz w:val="24"/>
                <w:szCs w:val="24"/>
                <w:lang w:eastAsia="ru-RU"/>
              </w:rPr>
              <w:lastRenderedPageBreak/>
              <w:t>Вид альтернативи</w:t>
            </w:r>
          </w:p>
        </w:tc>
        <w:tc>
          <w:tcPr>
            <w:tcW w:w="3969" w:type="dxa"/>
            <w:vAlign w:val="center"/>
          </w:tcPr>
          <w:p w:rsidR="008B3644" w:rsidRPr="00517164" w:rsidRDefault="008B3644" w:rsidP="00384541">
            <w:pPr>
              <w:keepNext/>
              <w:ind w:firstLine="567"/>
              <w:jc w:val="center"/>
              <w:rPr>
                <w:color w:val="000000"/>
                <w:sz w:val="28"/>
                <w:szCs w:val="28"/>
                <w:lang w:val="ru-RU" w:eastAsia="ru-RU"/>
              </w:rPr>
            </w:pPr>
            <w:r w:rsidRPr="00517164">
              <w:rPr>
                <w:color w:val="000000"/>
                <w:sz w:val="24"/>
                <w:szCs w:val="24"/>
                <w:lang w:eastAsia="ru-RU"/>
              </w:rPr>
              <w:t>Вигоди</w:t>
            </w:r>
          </w:p>
        </w:tc>
        <w:tc>
          <w:tcPr>
            <w:tcW w:w="3934" w:type="dxa"/>
            <w:vAlign w:val="center"/>
          </w:tcPr>
          <w:p w:rsidR="008B3644" w:rsidRPr="00517164" w:rsidRDefault="008B3644" w:rsidP="00384541">
            <w:pPr>
              <w:keepNext/>
              <w:ind w:firstLine="567"/>
              <w:jc w:val="center"/>
              <w:rPr>
                <w:color w:val="000000"/>
                <w:sz w:val="28"/>
                <w:szCs w:val="28"/>
                <w:lang w:val="ru-RU" w:eastAsia="ru-RU"/>
              </w:rPr>
            </w:pPr>
            <w:r w:rsidRPr="00517164">
              <w:rPr>
                <w:color w:val="000000"/>
                <w:sz w:val="24"/>
                <w:szCs w:val="24"/>
                <w:lang w:eastAsia="ru-RU"/>
              </w:rPr>
              <w:t>Витрати</w:t>
            </w:r>
          </w:p>
        </w:tc>
      </w:tr>
      <w:tr w:rsidR="008B3644" w:rsidRPr="00517164" w:rsidTr="00D94214">
        <w:tc>
          <w:tcPr>
            <w:tcW w:w="1951" w:type="dxa"/>
          </w:tcPr>
          <w:p w:rsidR="008B3644" w:rsidRPr="00517164" w:rsidRDefault="008B3644" w:rsidP="00384541">
            <w:pPr>
              <w:keepNext/>
              <w:jc w:val="both"/>
              <w:rPr>
                <w:color w:val="000000"/>
                <w:sz w:val="24"/>
                <w:szCs w:val="24"/>
                <w:lang w:val="ru-RU" w:eastAsia="ru-RU"/>
              </w:rPr>
            </w:pPr>
            <w:r w:rsidRPr="00517164">
              <w:rPr>
                <w:color w:val="000000"/>
                <w:sz w:val="24"/>
                <w:szCs w:val="24"/>
                <w:lang w:eastAsia="ru-RU"/>
              </w:rPr>
              <w:t>Альтернатива 1</w:t>
            </w:r>
          </w:p>
        </w:tc>
        <w:tc>
          <w:tcPr>
            <w:tcW w:w="3969" w:type="dxa"/>
          </w:tcPr>
          <w:p w:rsidR="00694C6B" w:rsidRPr="00517164" w:rsidRDefault="00384541" w:rsidP="00384541">
            <w:pPr>
              <w:pStyle w:val="ac"/>
              <w:spacing w:before="60" w:after="0"/>
              <w:ind w:left="38" w:firstLine="1"/>
              <w:jc w:val="both"/>
              <w:rPr>
                <w:bCs/>
                <w:color w:val="000000"/>
              </w:rPr>
            </w:pPr>
            <w:r w:rsidRPr="00517164">
              <w:rPr>
                <w:bCs/>
                <w:color w:val="000000"/>
              </w:rPr>
              <w:t>1. </w:t>
            </w:r>
            <w:r w:rsidR="009F5F90" w:rsidRPr="00517164">
              <w:rPr>
                <w:bCs/>
                <w:color w:val="000000"/>
              </w:rPr>
              <w:t>П</w:t>
            </w:r>
            <w:r w:rsidR="002252D9" w:rsidRPr="00517164">
              <w:rPr>
                <w:bCs/>
                <w:color w:val="000000"/>
              </w:rPr>
              <w:t>равов</w:t>
            </w:r>
            <w:r w:rsidR="009F5F90" w:rsidRPr="00517164">
              <w:rPr>
                <w:bCs/>
                <w:color w:val="000000"/>
              </w:rPr>
              <w:t>е забезпечення та практична</w:t>
            </w:r>
            <w:r w:rsidR="002252D9" w:rsidRPr="00517164">
              <w:rPr>
                <w:bCs/>
                <w:color w:val="000000"/>
              </w:rPr>
              <w:t xml:space="preserve"> реалізаці</w:t>
            </w:r>
            <w:r w:rsidR="009F5F90" w:rsidRPr="00517164">
              <w:rPr>
                <w:bCs/>
                <w:color w:val="000000"/>
              </w:rPr>
              <w:t>я</w:t>
            </w:r>
            <w:r w:rsidR="002252D9" w:rsidRPr="00517164">
              <w:rPr>
                <w:bCs/>
                <w:color w:val="000000"/>
              </w:rPr>
              <w:t xml:space="preserve"> </w:t>
            </w:r>
            <w:r w:rsidR="002C52B1" w:rsidRPr="00517164">
              <w:rPr>
                <w:bCs/>
                <w:color w:val="000000"/>
              </w:rPr>
              <w:t>повернення коштів авансових платежів суб’єктами господарювання з «єдиного рахунку».</w:t>
            </w:r>
          </w:p>
          <w:p w:rsidR="009F5F90" w:rsidRPr="00517164" w:rsidRDefault="00384541" w:rsidP="00384541">
            <w:pPr>
              <w:pStyle w:val="ac"/>
              <w:spacing w:before="60" w:after="0"/>
              <w:ind w:left="38" w:firstLine="1"/>
              <w:jc w:val="both"/>
              <w:rPr>
                <w:bCs/>
                <w:color w:val="000000"/>
              </w:rPr>
            </w:pPr>
            <w:r w:rsidRPr="00517164">
              <w:rPr>
                <w:bCs/>
                <w:color w:val="000000"/>
              </w:rPr>
              <w:t>2. </w:t>
            </w:r>
            <w:r w:rsidR="009F5F90" w:rsidRPr="00517164">
              <w:rPr>
                <w:bCs/>
                <w:color w:val="000000"/>
              </w:rPr>
              <w:t>Покращення адміністрування платежу та обробки звітності контролюючими органами.</w:t>
            </w:r>
          </w:p>
          <w:p w:rsidR="00AA5BB0" w:rsidRPr="00517164" w:rsidRDefault="00384541" w:rsidP="00384541">
            <w:pPr>
              <w:pStyle w:val="ac"/>
              <w:spacing w:before="60" w:after="0"/>
              <w:ind w:left="39"/>
              <w:jc w:val="both"/>
              <w:rPr>
                <w:bCs/>
                <w:color w:val="000000"/>
              </w:rPr>
            </w:pPr>
            <w:r w:rsidRPr="00517164">
              <w:rPr>
                <w:bCs/>
                <w:color w:val="000000"/>
              </w:rPr>
              <w:t>3. </w:t>
            </w:r>
            <w:r w:rsidR="009F5F90" w:rsidRPr="00517164">
              <w:rPr>
                <w:bCs/>
                <w:color w:val="000000"/>
              </w:rPr>
              <w:t xml:space="preserve">Усунення </w:t>
            </w:r>
            <w:r w:rsidR="005F73B1" w:rsidRPr="00517164">
              <w:rPr>
                <w:bCs/>
                <w:color w:val="000000"/>
              </w:rPr>
              <w:t>можливих правових колізій</w:t>
            </w:r>
          </w:p>
        </w:tc>
        <w:tc>
          <w:tcPr>
            <w:tcW w:w="3934" w:type="dxa"/>
          </w:tcPr>
          <w:p w:rsidR="0007026D" w:rsidRPr="00517164" w:rsidRDefault="0007026D" w:rsidP="005F73B1">
            <w:pPr>
              <w:pStyle w:val="a5"/>
              <w:spacing w:before="0" w:beforeAutospacing="0" w:after="0" w:afterAutospacing="0"/>
              <w:ind w:firstLine="238"/>
            </w:pPr>
            <w:r w:rsidRPr="00517164">
              <w:t>Додаткових витрат  держави не виникне.</w:t>
            </w:r>
          </w:p>
          <w:p w:rsidR="00577405" w:rsidRPr="00517164" w:rsidRDefault="00577405" w:rsidP="005F73B1">
            <w:pPr>
              <w:keepNext/>
              <w:ind w:firstLine="238"/>
              <w:rPr>
                <w:color w:val="000000"/>
                <w:sz w:val="28"/>
                <w:szCs w:val="28"/>
                <w:lang w:eastAsia="ru-RU"/>
              </w:rPr>
            </w:pPr>
            <w:r w:rsidRPr="00517164">
              <w:rPr>
                <w:sz w:val="24"/>
                <w:szCs w:val="24"/>
                <w:lang w:eastAsia="ru-RU"/>
              </w:rPr>
              <w:t>Доопрацювання</w:t>
            </w:r>
            <w:r w:rsidR="005F73B1" w:rsidRPr="00517164">
              <w:rPr>
                <w:sz w:val="24"/>
                <w:szCs w:val="24"/>
                <w:lang w:eastAsia="ru-RU"/>
              </w:rPr>
              <w:t xml:space="preserve">  </w:t>
            </w:r>
            <w:r w:rsidRPr="00517164">
              <w:rPr>
                <w:sz w:val="24"/>
                <w:szCs w:val="24"/>
                <w:lang w:eastAsia="ru-RU"/>
              </w:rPr>
              <w:t xml:space="preserve"> відповідних автоматизованих </w:t>
            </w:r>
            <w:r w:rsidR="005F73B1" w:rsidRPr="00517164">
              <w:rPr>
                <w:sz w:val="24"/>
                <w:szCs w:val="24"/>
                <w:lang w:eastAsia="ru-RU"/>
              </w:rPr>
              <w:t xml:space="preserve">   </w:t>
            </w:r>
            <w:r w:rsidR="002C52B1" w:rsidRPr="00517164">
              <w:rPr>
                <w:sz w:val="24"/>
                <w:szCs w:val="24"/>
                <w:lang w:eastAsia="ru-RU"/>
              </w:rPr>
              <w:t>програмно-</w:t>
            </w:r>
            <w:r w:rsidRPr="00517164">
              <w:rPr>
                <w:sz w:val="24"/>
                <w:szCs w:val="24"/>
                <w:lang w:eastAsia="ru-RU"/>
              </w:rPr>
              <w:t xml:space="preserve">інформаційних </w:t>
            </w:r>
            <w:r w:rsidR="002C52B1" w:rsidRPr="00517164">
              <w:rPr>
                <w:sz w:val="24"/>
                <w:szCs w:val="24"/>
                <w:lang w:eastAsia="ru-RU"/>
              </w:rPr>
              <w:t>комплексів</w:t>
            </w:r>
            <w:r w:rsidRPr="00517164">
              <w:rPr>
                <w:sz w:val="24"/>
                <w:szCs w:val="24"/>
                <w:lang w:eastAsia="ru-RU"/>
              </w:rPr>
              <w:t xml:space="preserve"> ДФС</w:t>
            </w:r>
            <w:r w:rsidR="002C52B1" w:rsidRPr="00517164">
              <w:rPr>
                <w:sz w:val="24"/>
                <w:szCs w:val="24"/>
                <w:lang w:eastAsia="ru-RU"/>
              </w:rPr>
              <w:t xml:space="preserve"> та Казначейства</w:t>
            </w:r>
            <w:r w:rsidRPr="00517164">
              <w:rPr>
                <w:sz w:val="24"/>
                <w:szCs w:val="24"/>
                <w:lang w:eastAsia="ru-RU"/>
              </w:rPr>
              <w:t xml:space="preserve"> </w:t>
            </w:r>
            <w:r w:rsidR="005F73B1" w:rsidRPr="00517164">
              <w:rPr>
                <w:sz w:val="24"/>
                <w:szCs w:val="24"/>
                <w:lang w:eastAsia="ru-RU"/>
              </w:rPr>
              <w:t xml:space="preserve"> </w:t>
            </w:r>
            <w:r w:rsidRPr="00517164">
              <w:rPr>
                <w:sz w:val="24"/>
                <w:szCs w:val="24"/>
                <w:lang w:eastAsia="ru-RU"/>
              </w:rPr>
              <w:t xml:space="preserve">для </w:t>
            </w:r>
            <w:r w:rsidR="005F73B1" w:rsidRPr="00517164">
              <w:rPr>
                <w:sz w:val="24"/>
                <w:szCs w:val="24"/>
                <w:lang w:eastAsia="ru-RU"/>
              </w:rPr>
              <w:t xml:space="preserve">  </w:t>
            </w:r>
            <w:r w:rsidR="002C52B1" w:rsidRPr="00517164">
              <w:rPr>
                <w:sz w:val="24"/>
                <w:szCs w:val="24"/>
                <w:lang w:eastAsia="ru-RU"/>
              </w:rPr>
              <w:t>реалізації запроваджених</w:t>
            </w:r>
            <w:r w:rsidR="005F73B1" w:rsidRPr="00517164">
              <w:rPr>
                <w:sz w:val="24"/>
                <w:szCs w:val="24"/>
                <w:lang w:eastAsia="ru-RU"/>
              </w:rPr>
              <w:t xml:space="preserve">    </w:t>
            </w:r>
            <w:r w:rsidR="002C52B1" w:rsidRPr="00517164">
              <w:rPr>
                <w:sz w:val="24"/>
                <w:szCs w:val="24"/>
                <w:lang w:eastAsia="ru-RU"/>
              </w:rPr>
              <w:t xml:space="preserve"> змін </w:t>
            </w:r>
            <w:r w:rsidR="002D6367" w:rsidRPr="00517164">
              <w:rPr>
                <w:sz w:val="24"/>
                <w:szCs w:val="24"/>
                <w:lang w:eastAsia="ru-RU"/>
              </w:rPr>
              <w:t>здійснюватимуться</w:t>
            </w:r>
            <w:r w:rsidR="005F73B1" w:rsidRPr="00517164">
              <w:rPr>
                <w:sz w:val="24"/>
                <w:szCs w:val="24"/>
                <w:lang w:eastAsia="ru-RU"/>
              </w:rPr>
              <w:t xml:space="preserve"> </w:t>
            </w:r>
            <w:r w:rsidR="002D6367" w:rsidRPr="00517164">
              <w:rPr>
                <w:sz w:val="24"/>
                <w:szCs w:val="24"/>
                <w:lang w:eastAsia="ru-RU"/>
              </w:rPr>
              <w:t xml:space="preserve"> в </w:t>
            </w:r>
            <w:r w:rsidR="005F73B1" w:rsidRPr="00517164">
              <w:rPr>
                <w:sz w:val="24"/>
                <w:szCs w:val="24"/>
                <w:lang w:eastAsia="ru-RU"/>
              </w:rPr>
              <w:t xml:space="preserve"> </w:t>
            </w:r>
            <w:r w:rsidR="002D6367" w:rsidRPr="00517164">
              <w:rPr>
                <w:sz w:val="24"/>
                <w:szCs w:val="24"/>
                <w:lang w:eastAsia="ru-RU"/>
              </w:rPr>
              <w:t>межах</w:t>
            </w:r>
            <w:r w:rsidR="005F73B1" w:rsidRPr="00517164">
              <w:rPr>
                <w:sz w:val="24"/>
                <w:szCs w:val="24"/>
                <w:lang w:eastAsia="ru-RU"/>
              </w:rPr>
              <w:t xml:space="preserve"> фінансування державних органів</w:t>
            </w:r>
          </w:p>
        </w:tc>
      </w:tr>
      <w:tr w:rsidR="008B3644" w:rsidRPr="00517164" w:rsidTr="00D94214">
        <w:tc>
          <w:tcPr>
            <w:tcW w:w="1951" w:type="dxa"/>
          </w:tcPr>
          <w:p w:rsidR="008B3644" w:rsidRPr="00517164" w:rsidRDefault="008B3644" w:rsidP="00384541">
            <w:pPr>
              <w:keepNext/>
              <w:jc w:val="both"/>
              <w:rPr>
                <w:color w:val="000000"/>
                <w:sz w:val="24"/>
                <w:szCs w:val="24"/>
                <w:lang w:val="en-US" w:eastAsia="ru-RU"/>
              </w:rPr>
            </w:pPr>
            <w:r w:rsidRPr="00517164">
              <w:rPr>
                <w:color w:val="000000"/>
                <w:sz w:val="24"/>
                <w:szCs w:val="24"/>
                <w:lang w:eastAsia="ru-RU"/>
              </w:rPr>
              <w:t>Альтернатива </w:t>
            </w:r>
            <w:r w:rsidRPr="00517164">
              <w:rPr>
                <w:color w:val="000000"/>
                <w:sz w:val="24"/>
                <w:szCs w:val="24"/>
                <w:lang w:val="en-US" w:eastAsia="ru-RU"/>
              </w:rPr>
              <w:t>2</w:t>
            </w:r>
          </w:p>
        </w:tc>
        <w:tc>
          <w:tcPr>
            <w:tcW w:w="3969" w:type="dxa"/>
          </w:tcPr>
          <w:p w:rsidR="008B3644" w:rsidRPr="00517164" w:rsidRDefault="002252D9" w:rsidP="00384541">
            <w:pPr>
              <w:keepNext/>
              <w:ind w:firstLine="38"/>
              <w:jc w:val="both"/>
              <w:rPr>
                <w:color w:val="000000"/>
                <w:sz w:val="24"/>
                <w:szCs w:val="24"/>
                <w:lang w:eastAsia="ru-RU"/>
              </w:rPr>
            </w:pPr>
            <w:r w:rsidRPr="00517164">
              <w:rPr>
                <w:color w:val="000000"/>
                <w:sz w:val="24"/>
                <w:szCs w:val="24"/>
                <w:lang w:eastAsia="ru-RU"/>
              </w:rPr>
              <w:t>Відсутні</w:t>
            </w:r>
          </w:p>
        </w:tc>
        <w:tc>
          <w:tcPr>
            <w:tcW w:w="3934" w:type="dxa"/>
          </w:tcPr>
          <w:p w:rsidR="00F16AC8" w:rsidRPr="00517164" w:rsidRDefault="005F73B1" w:rsidP="00384541">
            <w:pPr>
              <w:keepNext/>
              <w:ind w:firstLine="238"/>
              <w:jc w:val="both"/>
              <w:rPr>
                <w:sz w:val="24"/>
                <w:szCs w:val="24"/>
                <w:lang w:eastAsia="ru-RU"/>
              </w:rPr>
            </w:pPr>
            <w:r w:rsidRPr="00517164">
              <w:rPr>
                <w:sz w:val="24"/>
                <w:szCs w:val="24"/>
                <w:lang w:eastAsia="ru-RU"/>
              </w:rPr>
              <w:t>Витрати відсутні</w:t>
            </w:r>
          </w:p>
          <w:p w:rsidR="00670E32" w:rsidRPr="00517164" w:rsidRDefault="00670E32" w:rsidP="00384541">
            <w:pPr>
              <w:keepNext/>
              <w:ind w:firstLine="567"/>
              <w:jc w:val="both"/>
              <w:rPr>
                <w:color w:val="000000"/>
                <w:sz w:val="28"/>
                <w:szCs w:val="28"/>
                <w:lang w:eastAsia="ru-RU"/>
              </w:rPr>
            </w:pPr>
          </w:p>
        </w:tc>
      </w:tr>
    </w:tbl>
    <w:p w:rsidR="008B3644" w:rsidRPr="00517164" w:rsidRDefault="008B3644" w:rsidP="00384541">
      <w:pPr>
        <w:spacing w:after="0" w:line="240" w:lineRule="auto"/>
        <w:ind w:firstLine="567"/>
        <w:jc w:val="both"/>
        <w:rPr>
          <w:rFonts w:ascii="Times New Roman" w:hAnsi="Times New Roman" w:cs="Times New Roman"/>
          <w:sz w:val="28"/>
          <w:szCs w:val="28"/>
        </w:rPr>
      </w:pPr>
    </w:p>
    <w:p w:rsidR="008B3644" w:rsidRPr="00517164" w:rsidRDefault="008B3644"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3. </w:t>
      </w:r>
      <w:r w:rsidR="00B87016" w:rsidRPr="00517164">
        <w:rPr>
          <w:rFonts w:ascii="Times New Roman" w:hAnsi="Times New Roman" w:cs="Times New Roman"/>
          <w:sz w:val="28"/>
          <w:szCs w:val="28"/>
        </w:rPr>
        <w:t>Дія п</w:t>
      </w:r>
      <w:r w:rsidR="002252D9" w:rsidRPr="00517164">
        <w:rPr>
          <w:rFonts w:ascii="Times New Roman" w:hAnsi="Times New Roman" w:cs="Times New Roman"/>
          <w:sz w:val="28"/>
          <w:szCs w:val="28"/>
        </w:rPr>
        <w:t>роект</w:t>
      </w:r>
      <w:r w:rsidR="00B87016" w:rsidRPr="00517164">
        <w:rPr>
          <w:rFonts w:ascii="Times New Roman" w:hAnsi="Times New Roman" w:cs="Times New Roman"/>
          <w:sz w:val="28"/>
          <w:szCs w:val="28"/>
        </w:rPr>
        <w:t>у</w:t>
      </w:r>
      <w:r w:rsidR="002252D9" w:rsidRPr="00517164">
        <w:rPr>
          <w:rFonts w:ascii="Times New Roman" w:hAnsi="Times New Roman" w:cs="Times New Roman"/>
          <w:sz w:val="28"/>
          <w:szCs w:val="28"/>
        </w:rPr>
        <w:t xml:space="preserve"> наказу не </w:t>
      </w:r>
      <w:r w:rsidR="00B87016" w:rsidRPr="00517164">
        <w:rPr>
          <w:rFonts w:ascii="Times New Roman" w:hAnsi="Times New Roman" w:cs="Times New Roman"/>
          <w:sz w:val="28"/>
          <w:szCs w:val="28"/>
        </w:rPr>
        <w:t>поширюється</w:t>
      </w:r>
      <w:r w:rsidR="002252D9" w:rsidRPr="00517164">
        <w:rPr>
          <w:rFonts w:ascii="Times New Roman" w:hAnsi="Times New Roman" w:cs="Times New Roman"/>
          <w:sz w:val="28"/>
          <w:szCs w:val="28"/>
        </w:rPr>
        <w:t xml:space="preserve"> на сферу інтересів громадян</w:t>
      </w:r>
      <w:r w:rsidR="00B87016" w:rsidRPr="00517164">
        <w:rPr>
          <w:rFonts w:ascii="Times New Roman" w:hAnsi="Times New Roman" w:cs="Times New Roman"/>
          <w:sz w:val="28"/>
          <w:szCs w:val="28"/>
        </w:rPr>
        <w:t>.</w:t>
      </w:r>
    </w:p>
    <w:p w:rsidR="00225988" w:rsidRPr="00517164" w:rsidRDefault="00225988" w:rsidP="00384541">
      <w:pPr>
        <w:spacing w:after="0" w:line="240" w:lineRule="auto"/>
        <w:ind w:firstLine="567"/>
        <w:jc w:val="both"/>
        <w:rPr>
          <w:rFonts w:ascii="Times New Roman" w:hAnsi="Times New Roman" w:cs="Times New Roman"/>
          <w:sz w:val="28"/>
          <w:szCs w:val="28"/>
        </w:rPr>
      </w:pPr>
    </w:p>
    <w:p w:rsidR="00A25493" w:rsidRPr="00517164" w:rsidRDefault="00A25493"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4. Оцінка впливу на сферу інтересів суб’єктів господарювання</w:t>
      </w:r>
    </w:p>
    <w:p w:rsidR="0007026D" w:rsidRPr="00517164" w:rsidRDefault="0007026D" w:rsidP="00384541">
      <w:pPr>
        <w:pStyle w:val="a5"/>
        <w:spacing w:before="0" w:beforeAutospacing="0" w:after="0" w:afterAutospacing="0"/>
        <w:ind w:firstLine="567"/>
        <w:contextualSpacing/>
        <w:jc w:val="both"/>
        <w:rPr>
          <w:sz w:val="28"/>
          <w:szCs w:val="28"/>
        </w:rPr>
      </w:pPr>
      <w:r w:rsidRPr="00517164">
        <w:rPr>
          <w:sz w:val="28"/>
          <w:szCs w:val="28"/>
        </w:rPr>
        <w:t>Кількість суб’єктів господарювання,</w:t>
      </w:r>
      <w:r w:rsidRPr="00517164">
        <w:rPr>
          <w:bCs/>
          <w:sz w:val="28"/>
          <w:szCs w:val="28"/>
        </w:rPr>
        <w:t xml:space="preserve"> у яких виникатиме необхідність </w:t>
      </w:r>
      <w:r w:rsidR="00452B8A" w:rsidRPr="00517164">
        <w:rPr>
          <w:bCs/>
          <w:sz w:val="28"/>
          <w:szCs w:val="28"/>
        </w:rPr>
        <w:t>повернення авансових платежів з «єдиного рахунку»</w:t>
      </w:r>
      <w:r w:rsidRPr="00517164">
        <w:rPr>
          <w:sz w:val="28"/>
          <w:szCs w:val="28"/>
        </w:rPr>
        <w:t>, точно вказати неможливо, оскільки суб’єкт</w:t>
      </w:r>
      <w:r w:rsidR="001623F6" w:rsidRPr="00517164">
        <w:rPr>
          <w:sz w:val="28"/>
          <w:szCs w:val="28"/>
        </w:rPr>
        <w:t>и</w:t>
      </w:r>
      <w:r w:rsidRPr="00517164">
        <w:rPr>
          <w:sz w:val="28"/>
          <w:szCs w:val="28"/>
        </w:rPr>
        <w:t xml:space="preserve"> господарювання можуть</w:t>
      </w:r>
      <w:r w:rsidR="00384541" w:rsidRPr="00517164">
        <w:rPr>
          <w:sz w:val="28"/>
          <w:szCs w:val="28"/>
        </w:rPr>
        <w:t xml:space="preserve"> неодноразово звертатись </w:t>
      </w:r>
      <w:r w:rsidR="001623F6" w:rsidRPr="00517164">
        <w:rPr>
          <w:sz w:val="28"/>
          <w:szCs w:val="28"/>
        </w:rPr>
        <w:t>за звітний</w:t>
      </w:r>
      <w:r w:rsidRPr="00517164">
        <w:rPr>
          <w:sz w:val="28"/>
          <w:szCs w:val="28"/>
        </w:rPr>
        <w:t xml:space="preserve"> період, а можуть </w:t>
      </w:r>
      <w:r w:rsidR="001623F6" w:rsidRPr="00517164">
        <w:rPr>
          <w:sz w:val="28"/>
          <w:szCs w:val="28"/>
        </w:rPr>
        <w:t xml:space="preserve">і </w:t>
      </w:r>
      <w:r w:rsidRPr="00517164">
        <w:rPr>
          <w:sz w:val="28"/>
          <w:szCs w:val="28"/>
        </w:rPr>
        <w:t xml:space="preserve">не </w:t>
      </w:r>
      <w:r w:rsidR="001623F6" w:rsidRPr="00517164">
        <w:rPr>
          <w:sz w:val="28"/>
          <w:szCs w:val="28"/>
        </w:rPr>
        <w:t>звертатись</w:t>
      </w:r>
      <w:r w:rsidRPr="00517164">
        <w:rPr>
          <w:sz w:val="28"/>
          <w:szCs w:val="28"/>
        </w:rPr>
        <w:t xml:space="preserve"> взагалі.</w:t>
      </w:r>
    </w:p>
    <w:p w:rsidR="001623F6" w:rsidRPr="00517164" w:rsidRDefault="0007026D" w:rsidP="00384541">
      <w:pPr>
        <w:spacing w:line="240" w:lineRule="auto"/>
        <w:ind w:firstLine="567"/>
        <w:contextualSpacing/>
        <w:jc w:val="both"/>
        <w:rPr>
          <w:rFonts w:ascii="Times New Roman" w:eastAsia="Times New Roman" w:hAnsi="Times New Roman" w:cs="Times New Roman"/>
          <w:color w:val="000000"/>
          <w:sz w:val="28"/>
          <w:szCs w:val="28"/>
          <w:lang w:eastAsia="ru-RU"/>
        </w:rPr>
      </w:pPr>
      <w:r w:rsidRPr="00517164">
        <w:rPr>
          <w:rFonts w:ascii="Times New Roman" w:eastAsia="Times New Roman" w:hAnsi="Times New Roman" w:cs="Times New Roman"/>
          <w:color w:val="000000"/>
          <w:sz w:val="28"/>
          <w:szCs w:val="28"/>
          <w:lang w:eastAsia="ru-RU"/>
        </w:rPr>
        <w:t xml:space="preserve">Водночас проведеним аналізом </w:t>
      </w:r>
      <w:r w:rsidR="00384541" w:rsidRPr="00517164">
        <w:rPr>
          <w:rFonts w:ascii="Times New Roman" w:eastAsia="Times New Roman" w:hAnsi="Times New Roman" w:cs="Times New Roman"/>
          <w:color w:val="000000"/>
          <w:sz w:val="28"/>
          <w:szCs w:val="28"/>
          <w:lang w:eastAsia="ru-RU"/>
        </w:rPr>
        <w:t>інформації,</w:t>
      </w:r>
      <w:r w:rsidR="001623F6" w:rsidRPr="00517164">
        <w:rPr>
          <w:rFonts w:ascii="Times New Roman" w:eastAsia="Times New Roman" w:hAnsi="Times New Roman" w:cs="Times New Roman"/>
          <w:color w:val="000000"/>
          <w:sz w:val="28"/>
          <w:szCs w:val="28"/>
          <w:lang w:eastAsia="ru-RU"/>
        </w:rPr>
        <w:t xml:space="preserve"> отримано</w:t>
      </w:r>
      <w:r w:rsidR="00384541" w:rsidRPr="00517164">
        <w:rPr>
          <w:rFonts w:ascii="Times New Roman" w:eastAsia="Times New Roman" w:hAnsi="Times New Roman" w:cs="Times New Roman"/>
          <w:color w:val="000000"/>
          <w:sz w:val="28"/>
          <w:szCs w:val="28"/>
          <w:lang w:eastAsia="ru-RU"/>
        </w:rPr>
        <w:t>ї</w:t>
      </w:r>
      <w:r w:rsidR="001623F6" w:rsidRPr="00517164">
        <w:rPr>
          <w:rFonts w:ascii="Times New Roman" w:eastAsia="Times New Roman" w:hAnsi="Times New Roman" w:cs="Times New Roman"/>
          <w:color w:val="000000"/>
          <w:sz w:val="28"/>
          <w:szCs w:val="28"/>
          <w:lang w:eastAsia="ru-RU"/>
        </w:rPr>
        <w:t xml:space="preserve"> від Київської митниці ДФС (умовно, кількість платників податків, які звернулись із заявою на повернення </w:t>
      </w:r>
      <w:r w:rsidR="002D3D3D" w:rsidRPr="00517164">
        <w:rPr>
          <w:rFonts w:ascii="Times New Roman" w:eastAsia="Times New Roman" w:hAnsi="Times New Roman" w:cs="Times New Roman"/>
          <w:color w:val="000000"/>
          <w:sz w:val="28"/>
          <w:szCs w:val="28"/>
          <w:lang w:eastAsia="ru-RU"/>
        </w:rPr>
        <w:t>коштів</w:t>
      </w:r>
      <w:r w:rsidR="001623F6" w:rsidRPr="00517164">
        <w:rPr>
          <w:rFonts w:ascii="Times New Roman" w:eastAsia="Times New Roman" w:hAnsi="Times New Roman" w:cs="Times New Roman"/>
          <w:color w:val="000000"/>
          <w:sz w:val="28"/>
          <w:szCs w:val="28"/>
          <w:lang w:eastAsia="ru-RU"/>
        </w:rPr>
        <w:t>)</w:t>
      </w:r>
      <w:r w:rsidR="00644D45" w:rsidRPr="00517164">
        <w:rPr>
          <w:rFonts w:ascii="Times New Roman" w:eastAsia="Times New Roman" w:hAnsi="Times New Roman" w:cs="Times New Roman"/>
          <w:color w:val="000000"/>
          <w:sz w:val="28"/>
          <w:szCs w:val="28"/>
          <w:lang w:eastAsia="ru-RU"/>
        </w:rPr>
        <w:t>,</w:t>
      </w:r>
      <w:r w:rsidR="001623F6" w:rsidRPr="00517164">
        <w:rPr>
          <w:rFonts w:ascii="Times New Roman" w:eastAsia="Times New Roman" w:hAnsi="Times New Roman" w:cs="Times New Roman"/>
          <w:color w:val="000000"/>
          <w:sz w:val="28"/>
          <w:szCs w:val="28"/>
          <w:lang w:eastAsia="ru-RU"/>
        </w:rPr>
        <w:t xml:space="preserve"> протягом 2017 року було зафіксовано 699 випадків повернення авансових платежів (передоплати) і помилково та/або надміру сплачених сум митних платежів. Враховуючи, що протягом 2015 року таких випадків було 98, а в 2016 році – 334, можна зробити статистичний прогноз, що у 201</w:t>
      </w:r>
      <w:r w:rsidR="00380B8D" w:rsidRPr="00517164">
        <w:rPr>
          <w:rFonts w:ascii="Times New Roman" w:eastAsia="Times New Roman" w:hAnsi="Times New Roman" w:cs="Times New Roman"/>
          <w:color w:val="000000"/>
          <w:sz w:val="28"/>
          <w:szCs w:val="28"/>
          <w:lang w:eastAsia="ru-RU"/>
        </w:rPr>
        <w:t>9</w:t>
      </w:r>
      <w:r w:rsidR="001623F6" w:rsidRPr="00517164">
        <w:rPr>
          <w:rFonts w:ascii="Times New Roman" w:eastAsia="Times New Roman" w:hAnsi="Times New Roman" w:cs="Times New Roman"/>
          <w:color w:val="000000"/>
          <w:sz w:val="28"/>
          <w:szCs w:val="28"/>
          <w:lang w:eastAsia="ru-RU"/>
        </w:rPr>
        <w:t xml:space="preserve"> році кількість суб’єктів, які звернуться із заявою</w:t>
      </w:r>
      <w:r w:rsidR="00644D45" w:rsidRPr="00517164">
        <w:rPr>
          <w:rFonts w:ascii="Times New Roman" w:eastAsia="Times New Roman" w:hAnsi="Times New Roman" w:cs="Times New Roman"/>
          <w:color w:val="000000"/>
          <w:sz w:val="28"/>
          <w:szCs w:val="28"/>
          <w:lang w:eastAsia="ru-RU"/>
        </w:rPr>
        <w:t>,</w:t>
      </w:r>
      <w:r w:rsidR="001623F6" w:rsidRPr="00517164">
        <w:rPr>
          <w:rFonts w:ascii="Times New Roman" w:eastAsia="Times New Roman" w:hAnsi="Times New Roman" w:cs="Times New Roman"/>
          <w:color w:val="000000"/>
          <w:sz w:val="28"/>
          <w:szCs w:val="28"/>
          <w:lang w:eastAsia="ru-RU"/>
        </w:rPr>
        <w:t xml:space="preserve"> становитиме близько 1000 осіб.</w:t>
      </w:r>
    </w:p>
    <w:p w:rsidR="001623F6" w:rsidRPr="00517164" w:rsidRDefault="001623F6" w:rsidP="00384541">
      <w:pPr>
        <w:pStyle w:val="a5"/>
        <w:widowControl w:val="0"/>
        <w:spacing w:before="0" w:beforeAutospacing="0" w:after="0" w:afterAutospacing="0"/>
        <w:ind w:firstLine="567"/>
        <w:jc w:val="center"/>
        <w:rPr>
          <w:sz w:val="28"/>
          <w:szCs w:val="22"/>
        </w:rPr>
      </w:pPr>
      <w:r w:rsidRPr="00517164">
        <w:rPr>
          <w:noProof/>
          <w:sz w:val="28"/>
          <w:szCs w:val="22"/>
          <w:lang w:eastAsia="uk-UA"/>
        </w:rPr>
        <w:drawing>
          <wp:inline distT="0" distB="0" distL="0" distR="0" wp14:anchorId="0B0966AE" wp14:editId="02B4CD0C">
            <wp:extent cx="4293870" cy="2584450"/>
            <wp:effectExtent l="0" t="0" r="0" b="6350"/>
            <wp:docPr id="1" name="Рисунок 1" descr="Статистична функція&#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870" cy="2584450"/>
                    </a:xfrm>
                    <a:prstGeom prst="rect">
                      <a:avLst/>
                    </a:prstGeom>
                    <a:noFill/>
                    <a:ln>
                      <a:noFill/>
                    </a:ln>
                  </pic:spPr>
                </pic:pic>
              </a:graphicData>
            </a:graphic>
          </wp:inline>
        </w:drawing>
      </w:r>
    </w:p>
    <w:p w:rsidR="001623F6" w:rsidRPr="00517164" w:rsidRDefault="001623F6" w:rsidP="00384541">
      <w:pPr>
        <w:pStyle w:val="a5"/>
        <w:widowControl w:val="0"/>
        <w:spacing w:before="0" w:beforeAutospacing="0" w:after="0" w:afterAutospacing="0"/>
        <w:ind w:firstLine="567"/>
        <w:jc w:val="both"/>
      </w:pPr>
      <w:proofErr w:type="spellStart"/>
      <w:r w:rsidRPr="00517164">
        <w:t>Мал</w:t>
      </w:r>
      <w:proofErr w:type="spellEnd"/>
      <w:r w:rsidRPr="00517164">
        <w:t>. 1</w:t>
      </w:r>
      <w:r w:rsidR="003A5812" w:rsidRPr="00517164">
        <w:t> </w:t>
      </w:r>
      <w:r w:rsidRPr="00517164">
        <w:t xml:space="preserve">Статистичний прогноз </w:t>
      </w:r>
      <w:r w:rsidRPr="00517164">
        <w:rPr>
          <w:bCs/>
        </w:rPr>
        <w:t xml:space="preserve">кількості платників податків, які звернуться із заявою </w:t>
      </w:r>
      <w:r w:rsidRPr="00517164">
        <w:t>на повернення грошових коштів до Київської митниці ДФС у 2014</w:t>
      </w:r>
      <w:r w:rsidR="005D78B0" w:rsidRPr="00517164">
        <w:t> – </w:t>
      </w:r>
      <w:r w:rsidRPr="00517164">
        <w:t>2017 роках (для розрахунків прогноз не використовується, оскільки нос</w:t>
      </w:r>
      <w:r w:rsidR="0065146E" w:rsidRPr="00517164">
        <w:t>ить суто ілюстративний характер</w:t>
      </w:r>
      <w:r w:rsidR="009654AF" w:rsidRPr="00517164">
        <w:t>)</w:t>
      </w:r>
    </w:p>
    <w:tbl>
      <w:tblPr>
        <w:tblStyle w:val="4"/>
        <w:tblW w:w="0" w:type="auto"/>
        <w:tblLook w:val="04A0" w:firstRow="1" w:lastRow="0" w:firstColumn="1" w:lastColumn="0" w:noHBand="0" w:noVBand="1"/>
      </w:tblPr>
      <w:tblGrid>
        <w:gridCol w:w="1948"/>
        <w:gridCol w:w="3916"/>
        <w:gridCol w:w="3877"/>
      </w:tblGrid>
      <w:tr w:rsidR="00D11F94" w:rsidRPr="00517164" w:rsidTr="005077F2">
        <w:trPr>
          <w:trHeight w:val="565"/>
        </w:trPr>
        <w:tc>
          <w:tcPr>
            <w:tcW w:w="1948" w:type="dxa"/>
            <w:vAlign w:val="center"/>
          </w:tcPr>
          <w:p w:rsidR="00D11F94" w:rsidRPr="00517164" w:rsidRDefault="00D11F94" w:rsidP="00384541">
            <w:pPr>
              <w:keepNext/>
              <w:ind w:firstLine="142"/>
              <w:jc w:val="center"/>
              <w:rPr>
                <w:color w:val="000000"/>
                <w:sz w:val="24"/>
                <w:szCs w:val="24"/>
                <w:lang w:eastAsia="ru-RU"/>
              </w:rPr>
            </w:pPr>
            <w:r w:rsidRPr="00517164">
              <w:rPr>
                <w:color w:val="000000"/>
                <w:sz w:val="24"/>
                <w:szCs w:val="24"/>
                <w:lang w:eastAsia="ru-RU"/>
              </w:rPr>
              <w:lastRenderedPageBreak/>
              <w:t>Вид альтернативи</w:t>
            </w:r>
          </w:p>
        </w:tc>
        <w:tc>
          <w:tcPr>
            <w:tcW w:w="3916" w:type="dxa"/>
            <w:vAlign w:val="center"/>
          </w:tcPr>
          <w:p w:rsidR="00D11F94" w:rsidRPr="00517164" w:rsidRDefault="00D11F94" w:rsidP="00384541">
            <w:pPr>
              <w:keepNext/>
              <w:ind w:firstLine="567"/>
              <w:jc w:val="center"/>
              <w:rPr>
                <w:color w:val="000000"/>
                <w:sz w:val="24"/>
                <w:szCs w:val="24"/>
                <w:lang w:eastAsia="ru-RU"/>
              </w:rPr>
            </w:pPr>
            <w:r w:rsidRPr="00517164">
              <w:rPr>
                <w:color w:val="000000"/>
                <w:sz w:val="24"/>
                <w:szCs w:val="24"/>
                <w:lang w:eastAsia="ru-RU"/>
              </w:rPr>
              <w:t>Вигоди</w:t>
            </w:r>
          </w:p>
        </w:tc>
        <w:tc>
          <w:tcPr>
            <w:tcW w:w="3877" w:type="dxa"/>
            <w:vAlign w:val="center"/>
          </w:tcPr>
          <w:p w:rsidR="00D11F94" w:rsidRPr="00517164" w:rsidRDefault="00D11F94" w:rsidP="00384541">
            <w:pPr>
              <w:keepNext/>
              <w:ind w:firstLine="567"/>
              <w:jc w:val="center"/>
              <w:rPr>
                <w:color w:val="000000"/>
                <w:sz w:val="24"/>
                <w:szCs w:val="24"/>
                <w:lang w:eastAsia="ru-RU"/>
              </w:rPr>
            </w:pPr>
            <w:r w:rsidRPr="00517164">
              <w:rPr>
                <w:color w:val="000000"/>
                <w:sz w:val="24"/>
                <w:szCs w:val="24"/>
                <w:lang w:eastAsia="ru-RU"/>
              </w:rPr>
              <w:t>Витрати</w:t>
            </w:r>
          </w:p>
        </w:tc>
      </w:tr>
      <w:tr w:rsidR="003A5812" w:rsidRPr="00517164" w:rsidTr="005077F2">
        <w:trPr>
          <w:trHeight w:val="5289"/>
        </w:trPr>
        <w:tc>
          <w:tcPr>
            <w:tcW w:w="1948" w:type="dxa"/>
            <w:vAlign w:val="center"/>
          </w:tcPr>
          <w:p w:rsidR="003A5812" w:rsidRPr="00517164" w:rsidRDefault="003A5812" w:rsidP="00384541">
            <w:pPr>
              <w:keepNext/>
              <w:jc w:val="center"/>
              <w:rPr>
                <w:color w:val="000000"/>
                <w:sz w:val="24"/>
                <w:szCs w:val="24"/>
                <w:lang w:eastAsia="ru-RU"/>
              </w:rPr>
            </w:pPr>
            <w:r w:rsidRPr="00517164">
              <w:rPr>
                <w:color w:val="000000"/>
                <w:sz w:val="24"/>
                <w:szCs w:val="24"/>
                <w:lang w:eastAsia="ru-RU"/>
              </w:rPr>
              <w:t>Альтернатива 1</w:t>
            </w:r>
          </w:p>
        </w:tc>
        <w:tc>
          <w:tcPr>
            <w:tcW w:w="3916" w:type="dxa"/>
          </w:tcPr>
          <w:p w:rsidR="003A5812" w:rsidRPr="00517164" w:rsidRDefault="003A5812" w:rsidP="00384541">
            <w:pPr>
              <w:pStyle w:val="ac"/>
              <w:spacing w:before="60" w:after="0"/>
              <w:ind w:left="0" w:firstLine="179"/>
              <w:contextualSpacing/>
              <w:jc w:val="both"/>
              <w:rPr>
                <w:bCs/>
                <w:color w:val="000000"/>
              </w:rPr>
            </w:pPr>
            <w:r w:rsidRPr="00517164">
              <w:rPr>
                <w:bCs/>
                <w:color w:val="000000"/>
              </w:rPr>
              <w:t xml:space="preserve">Прийняття нового регуляторного </w:t>
            </w:r>
            <w:proofErr w:type="spellStart"/>
            <w:r w:rsidRPr="00517164">
              <w:rPr>
                <w:bCs/>
                <w:color w:val="000000"/>
              </w:rPr>
              <w:t>акт</w:t>
            </w:r>
            <w:r w:rsidR="00E92565" w:rsidRPr="00517164">
              <w:rPr>
                <w:bCs/>
                <w:color w:val="000000"/>
              </w:rPr>
              <w:t>а</w:t>
            </w:r>
            <w:proofErr w:type="spellEnd"/>
            <w:r w:rsidRPr="00517164">
              <w:rPr>
                <w:bCs/>
                <w:color w:val="000000"/>
              </w:rPr>
              <w:t xml:space="preserve"> забезпечить: </w:t>
            </w:r>
          </w:p>
          <w:p w:rsidR="003A5812" w:rsidRPr="00517164" w:rsidRDefault="00A01C43" w:rsidP="00384541">
            <w:pPr>
              <w:pStyle w:val="ac"/>
              <w:spacing w:before="60" w:after="0"/>
              <w:ind w:left="0" w:firstLine="179"/>
              <w:contextualSpacing/>
              <w:jc w:val="both"/>
              <w:rPr>
                <w:bCs/>
                <w:color w:val="000000"/>
              </w:rPr>
            </w:pPr>
            <w:r w:rsidRPr="00517164">
              <w:rPr>
                <w:bCs/>
                <w:color w:val="000000"/>
              </w:rPr>
              <w:t>- </w:t>
            </w:r>
            <w:r w:rsidR="003A5812" w:rsidRPr="00517164">
              <w:rPr>
                <w:bCs/>
                <w:color w:val="000000"/>
              </w:rPr>
              <w:t xml:space="preserve">узгодження інтересів бізнесу та держави; </w:t>
            </w:r>
          </w:p>
          <w:p w:rsidR="003A5812" w:rsidRPr="00517164" w:rsidRDefault="00A01C43" w:rsidP="00384541">
            <w:pPr>
              <w:pStyle w:val="ac"/>
              <w:spacing w:before="60" w:after="0"/>
              <w:ind w:left="0" w:firstLine="179"/>
              <w:contextualSpacing/>
              <w:jc w:val="both"/>
              <w:rPr>
                <w:bCs/>
                <w:color w:val="000000"/>
              </w:rPr>
            </w:pPr>
            <w:r w:rsidRPr="00517164">
              <w:rPr>
                <w:bCs/>
                <w:color w:val="000000"/>
              </w:rPr>
              <w:t>- ч</w:t>
            </w:r>
            <w:r w:rsidR="003A5812" w:rsidRPr="00517164">
              <w:rPr>
                <w:bCs/>
                <w:color w:val="000000"/>
              </w:rPr>
              <w:t>ітке визначення процедури повернення коштів;</w:t>
            </w:r>
          </w:p>
          <w:p w:rsidR="003A5812" w:rsidRPr="00517164" w:rsidRDefault="00A01C43" w:rsidP="00384541">
            <w:pPr>
              <w:pStyle w:val="ac"/>
              <w:spacing w:before="60" w:after="0"/>
              <w:ind w:left="0" w:firstLine="179"/>
              <w:contextualSpacing/>
              <w:jc w:val="both"/>
              <w:rPr>
                <w:bCs/>
                <w:color w:val="000000"/>
              </w:rPr>
            </w:pPr>
            <w:r w:rsidRPr="00517164">
              <w:rPr>
                <w:bCs/>
                <w:color w:val="000000"/>
              </w:rPr>
              <w:t>- </w:t>
            </w:r>
            <w:r w:rsidR="003A5812" w:rsidRPr="00517164">
              <w:rPr>
                <w:bCs/>
                <w:color w:val="000000"/>
              </w:rPr>
              <w:t>встановлення виключного переліку документів для повернення коштів;</w:t>
            </w:r>
          </w:p>
          <w:p w:rsidR="003A5812" w:rsidRPr="00517164" w:rsidRDefault="00A01C43" w:rsidP="00384541">
            <w:pPr>
              <w:pStyle w:val="ac"/>
              <w:spacing w:before="60" w:after="0"/>
              <w:ind w:left="0" w:firstLine="179"/>
              <w:contextualSpacing/>
              <w:jc w:val="both"/>
              <w:rPr>
                <w:bCs/>
                <w:color w:val="000000"/>
              </w:rPr>
            </w:pPr>
            <w:r w:rsidRPr="00517164">
              <w:rPr>
                <w:bCs/>
                <w:color w:val="000000"/>
              </w:rPr>
              <w:t>- </w:t>
            </w:r>
            <w:r w:rsidR="003A5812" w:rsidRPr="00517164">
              <w:rPr>
                <w:bCs/>
                <w:color w:val="000000"/>
              </w:rPr>
              <w:t xml:space="preserve">визначення підстав для відмови в поверненні коштів; </w:t>
            </w:r>
          </w:p>
          <w:p w:rsidR="00A01C43" w:rsidRPr="00517164" w:rsidRDefault="00A01C43" w:rsidP="00384541">
            <w:pPr>
              <w:pStyle w:val="ac"/>
              <w:spacing w:before="60" w:after="0"/>
              <w:ind w:left="0" w:firstLine="179"/>
              <w:contextualSpacing/>
              <w:jc w:val="both"/>
              <w:rPr>
                <w:bCs/>
                <w:color w:val="000000"/>
              </w:rPr>
            </w:pPr>
            <w:r w:rsidRPr="00517164">
              <w:rPr>
                <w:bCs/>
                <w:color w:val="000000"/>
              </w:rPr>
              <w:t>- </w:t>
            </w:r>
            <w:r w:rsidR="003A5812" w:rsidRPr="00517164">
              <w:rPr>
                <w:bCs/>
                <w:color w:val="000000"/>
              </w:rPr>
              <w:t>скорочення часу, який витрачаєтьс</w:t>
            </w:r>
            <w:r w:rsidRPr="00517164">
              <w:rPr>
                <w:bCs/>
                <w:color w:val="000000"/>
              </w:rPr>
              <w:t>я на адміністративні процедури</w:t>
            </w:r>
            <w:r w:rsidR="00890225" w:rsidRPr="00517164">
              <w:rPr>
                <w:bCs/>
                <w:color w:val="000000"/>
              </w:rPr>
              <w:t>;</w:t>
            </w:r>
          </w:p>
          <w:p w:rsidR="003A5812" w:rsidRPr="00517164" w:rsidRDefault="00A01C43" w:rsidP="00940556">
            <w:pPr>
              <w:ind w:firstLine="179"/>
              <w:contextualSpacing/>
              <w:jc w:val="both"/>
              <w:rPr>
                <w:bCs/>
                <w:color w:val="000000"/>
                <w:sz w:val="24"/>
                <w:szCs w:val="24"/>
                <w:lang w:eastAsia="ru-RU"/>
              </w:rPr>
            </w:pPr>
            <w:r w:rsidRPr="00517164">
              <w:rPr>
                <w:bCs/>
                <w:color w:val="000000"/>
                <w:sz w:val="24"/>
                <w:szCs w:val="24"/>
                <w:lang w:eastAsia="ru-RU"/>
              </w:rPr>
              <w:t>- </w:t>
            </w:r>
            <w:r w:rsidR="00940556" w:rsidRPr="00517164">
              <w:rPr>
                <w:bCs/>
                <w:color w:val="000000"/>
                <w:sz w:val="24"/>
                <w:szCs w:val="24"/>
                <w:lang w:eastAsia="ru-RU"/>
              </w:rPr>
              <w:t xml:space="preserve">сприяння </w:t>
            </w:r>
            <w:r w:rsidRPr="00517164">
              <w:rPr>
                <w:bCs/>
                <w:color w:val="000000"/>
                <w:sz w:val="24"/>
                <w:szCs w:val="24"/>
                <w:lang w:eastAsia="ru-RU"/>
              </w:rPr>
              <w:t>господарській діяльності шляхом прискорення вивільнення к</w:t>
            </w:r>
            <w:r w:rsidR="00C529B0" w:rsidRPr="00517164">
              <w:rPr>
                <w:bCs/>
                <w:color w:val="000000"/>
                <w:sz w:val="24"/>
                <w:szCs w:val="24"/>
                <w:lang w:eastAsia="ru-RU"/>
              </w:rPr>
              <w:t>оштів, що підлягають поверненню</w:t>
            </w:r>
          </w:p>
        </w:tc>
        <w:tc>
          <w:tcPr>
            <w:tcW w:w="3877" w:type="dxa"/>
          </w:tcPr>
          <w:p w:rsidR="003A5812" w:rsidRPr="00517164" w:rsidRDefault="00C529B0" w:rsidP="00384541">
            <w:pPr>
              <w:pStyle w:val="ac"/>
              <w:spacing w:before="60" w:after="0"/>
              <w:ind w:left="0" w:firstLine="232"/>
              <w:jc w:val="both"/>
              <w:rPr>
                <w:bCs/>
                <w:color w:val="000000"/>
              </w:rPr>
            </w:pPr>
            <w:r w:rsidRPr="00517164">
              <w:rPr>
                <w:bCs/>
                <w:color w:val="000000"/>
              </w:rPr>
              <w:t>Витрати відсутні</w:t>
            </w:r>
          </w:p>
        </w:tc>
      </w:tr>
      <w:tr w:rsidR="003A5812" w:rsidRPr="00517164" w:rsidTr="005077F2">
        <w:trPr>
          <w:trHeight w:val="2895"/>
        </w:trPr>
        <w:tc>
          <w:tcPr>
            <w:tcW w:w="1948" w:type="dxa"/>
          </w:tcPr>
          <w:p w:rsidR="003A5812" w:rsidRPr="00517164" w:rsidRDefault="003A5812" w:rsidP="00384541">
            <w:pPr>
              <w:keepNext/>
              <w:jc w:val="center"/>
              <w:rPr>
                <w:color w:val="000000"/>
                <w:sz w:val="24"/>
                <w:szCs w:val="24"/>
                <w:lang w:eastAsia="ru-RU"/>
              </w:rPr>
            </w:pPr>
            <w:r w:rsidRPr="00517164">
              <w:rPr>
                <w:color w:val="000000"/>
                <w:sz w:val="24"/>
                <w:szCs w:val="24"/>
                <w:lang w:eastAsia="ru-RU"/>
              </w:rPr>
              <w:t>Альтернатива 2</w:t>
            </w:r>
          </w:p>
        </w:tc>
        <w:tc>
          <w:tcPr>
            <w:tcW w:w="3916" w:type="dxa"/>
          </w:tcPr>
          <w:p w:rsidR="003A5812" w:rsidRPr="00517164" w:rsidRDefault="003A5812" w:rsidP="00384541">
            <w:pPr>
              <w:keepNext/>
              <w:ind w:firstLine="567"/>
              <w:jc w:val="both"/>
              <w:rPr>
                <w:color w:val="000000"/>
                <w:sz w:val="24"/>
                <w:szCs w:val="24"/>
                <w:lang w:eastAsia="ru-RU"/>
              </w:rPr>
            </w:pPr>
            <w:r w:rsidRPr="00517164">
              <w:rPr>
                <w:color w:val="000000"/>
                <w:sz w:val="24"/>
                <w:szCs w:val="24"/>
                <w:lang w:eastAsia="ru-RU"/>
              </w:rPr>
              <w:t>Відсутні</w:t>
            </w:r>
          </w:p>
        </w:tc>
        <w:tc>
          <w:tcPr>
            <w:tcW w:w="3877" w:type="dxa"/>
          </w:tcPr>
          <w:p w:rsidR="003A5812" w:rsidRPr="00517164" w:rsidRDefault="00C529B0" w:rsidP="00384541">
            <w:pPr>
              <w:keepNext/>
              <w:ind w:firstLine="232"/>
              <w:jc w:val="both"/>
              <w:rPr>
                <w:color w:val="000000"/>
                <w:sz w:val="24"/>
                <w:szCs w:val="24"/>
                <w:lang w:eastAsia="ru-RU"/>
              </w:rPr>
            </w:pPr>
            <w:r w:rsidRPr="00517164">
              <w:rPr>
                <w:color w:val="000000"/>
                <w:sz w:val="24"/>
                <w:szCs w:val="24"/>
                <w:lang w:eastAsia="ru-RU"/>
              </w:rPr>
              <w:t>Витрати відсутні</w:t>
            </w:r>
          </w:p>
          <w:p w:rsidR="003A5812" w:rsidRPr="00517164" w:rsidRDefault="005D70AB" w:rsidP="00384541">
            <w:pPr>
              <w:keepNext/>
              <w:ind w:firstLine="232"/>
              <w:jc w:val="both"/>
              <w:rPr>
                <w:color w:val="000000"/>
                <w:sz w:val="24"/>
                <w:szCs w:val="24"/>
                <w:lang w:eastAsia="ru-RU"/>
              </w:rPr>
            </w:pPr>
            <w:r w:rsidRPr="00517164">
              <w:rPr>
                <w:color w:val="000000"/>
                <w:sz w:val="24"/>
                <w:szCs w:val="24"/>
                <w:lang w:eastAsia="ru-RU"/>
              </w:rPr>
              <w:t>Залишення ситуації без змін викликатиме негатив з боку платників податків через відсутність механізму повернення коштів з «єдиного рахунку» авансових платежів (передоплати) і помилково та /або надмір</w:t>
            </w:r>
            <w:r w:rsidR="00C529B0" w:rsidRPr="00517164">
              <w:rPr>
                <w:color w:val="000000"/>
                <w:sz w:val="24"/>
                <w:szCs w:val="24"/>
                <w:lang w:eastAsia="ru-RU"/>
              </w:rPr>
              <w:t>у сплачених сум митних платежів</w:t>
            </w:r>
          </w:p>
          <w:p w:rsidR="003A5812" w:rsidRPr="00517164" w:rsidRDefault="003A5812" w:rsidP="00384541">
            <w:pPr>
              <w:keepNext/>
              <w:ind w:firstLine="232"/>
              <w:jc w:val="both"/>
              <w:rPr>
                <w:color w:val="000000"/>
                <w:sz w:val="24"/>
                <w:szCs w:val="24"/>
                <w:lang w:eastAsia="ru-RU"/>
              </w:rPr>
            </w:pPr>
          </w:p>
        </w:tc>
      </w:tr>
    </w:tbl>
    <w:p w:rsidR="00755F3D" w:rsidRPr="00517164" w:rsidRDefault="00755F3D" w:rsidP="00384541">
      <w:pPr>
        <w:spacing w:after="0" w:line="240" w:lineRule="auto"/>
        <w:ind w:firstLine="567"/>
        <w:jc w:val="both"/>
        <w:rPr>
          <w:rFonts w:ascii="Times New Roman" w:hAnsi="Times New Roman" w:cs="Times New Roman"/>
          <w:b/>
          <w:sz w:val="28"/>
          <w:szCs w:val="28"/>
        </w:rPr>
      </w:pPr>
    </w:p>
    <w:p w:rsidR="00794EF8" w:rsidRPr="00517164" w:rsidRDefault="00794EF8" w:rsidP="00384541">
      <w:pPr>
        <w:spacing w:after="0" w:line="240" w:lineRule="auto"/>
        <w:ind w:firstLine="567"/>
        <w:jc w:val="both"/>
        <w:rPr>
          <w:rFonts w:ascii="Times New Roman" w:hAnsi="Times New Roman" w:cs="Times New Roman"/>
          <w:b/>
          <w:sz w:val="28"/>
          <w:szCs w:val="28"/>
        </w:rPr>
      </w:pPr>
      <w:r w:rsidRPr="00517164">
        <w:rPr>
          <w:rFonts w:ascii="Times New Roman" w:hAnsi="Times New Roman" w:cs="Times New Roman"/>
          <w:b/>
          <w:sz w:val="28"/>
          <w:szCs w:val="28"/>
        </w:rPr>
        <w:t>IV. Вибір найбільш оптимального альтернативного способу досягнення цілей</w:t>
      </w:r>
    </w:p>
    <w:tbl>
      <w:tblPr>
        <w:tblStyle w:val="5"/>
        <w:tblpPr w:leftFromText="180" w:rightFromText="180" w:vertAnchor="text" w:horzAnchor="margin" w:tblpY="363"/>
        <w:tblW w:w="0" w:type="auto"/>
        <w:tblLook w:val="04A0" w:firstRow="1" w:lastRow="0" w:firstColumn="1" w:lastColumn="0" w:noHBand="0" w:noVBand="1"/>
      </w:tblPr>
      <w:tblGrid>
        <w:gridCol w:w="2228"/>
        <w:gridCol w:w="2260"/>
        <w:gridCol w:w="5253"/>
      </w:tblGrid>
      <w:tr w:rsidR="00310F1B" w:rsidRPr="00517164" w:rsidTr="00310F1B">
        <w:tc>
          <w:tcPr>
            <w:tcW w:w="2235" w:type="dxa"/>
          </w:tcPr>
          <w:p w:rsidR="00310F1B" w:rsidRPr="00517164" w:rsidRDefault="00310F1B" w:rsidP="00384541">
            <w:pPr>
              <w:keepNext/>
              <w:ind w:firstLine="142"/>
              <w:jc w:val="center"/>
              <w:rPr>
                <w:color w:val="000000"/>
                <w:sz w:val="24"/>
                <w:szCs w:val="24"/>
                <w:lang w:eastAsia="ru-RU"/>
              </w:rPr>
            </w:pPr>
            <w:r w:rsidRPr="00517164">
              <w:rPr>
                <w:color w:val="000000"/>
                <w:sz w:val="24"/>
                <w:szCs w:val="24"/>
                <w:lang w:eastAsia="ru-RU"/>
              </w:rPr>
              <w:t>Рейтинг результативності (досягнення цілей під час вирішення проблеми)</w:t>
            </w:r>
          </w:p>
        </w:tc>
        <w:tc>
          <w:tcPr>
            <w:tcW w:w="2268" w:type="dxa"/>
          </w:tcPr>
          <w:p w:rsidR="00310F1B" w:rsidRPr="00517164" w:rsidRDefault="00310F1B" w:rsidP="00384541">
            <w:pPr>
              <w:keepNext/>
              <w:ind w:firstLine="182"/>
              <w:jc w:val="center"/>
              <w:rPr>
                <w:color w:val="000000"/>
                <w:sz w:val="24"/>
                <w:szCs w:val="24"/>
                <w:lang w:eastAsia="ru-RU"/>
              </w:rPr>
            </w:pPr>
            <w:r w:rsidRPr="00517164">
              <w:rPr>
                <w:color w:val="000000"/>
                <w:sz w:val="24"/>
                <w:szCs w:val="24"/>
                <w:lang w:eastAsia="ru-RU"/>
              </w:rPr>
              <w:t>Бал результативності (за чотирибальною системою оцінки)</w:t>
            </w:r>
          </w:p>
        </w:tc>
        <w:tc>
          <w:tcPr>
            <w:tcW w:w="5351" w:type="dxa"/>
          </w:tcPr>
          <w:p w:rsidR="00310F1B" w:rsidRPr="00517164" w:rsidRDefault="00310F1B" w:rsidP="00384541">
            <w:pPr>
              <w:keepNext/>
              <w:ind w:firstLine="48"/>
              <w:jc w:val="both"/>
              <w:rPr>
                <w:color w:val="000000"/>
                <w:sz w:val="24"/>
                <w:szCs w:val="24"/>
                <w:lang w:eastAsia="ru-RU"/>
              </w:rPr>
            </w:pPr>
          </w:p>
          <w:p w:rsidR="00310F1B" w:rsidRPr="00517164" w:rsidRDefault="00310F1B" w:rsidP="00384541">
            <w:pPr>
              <w:keepNext/>
              <w:ind w:firstLine="48"/>
              <w:jc w:val="both"/>
              <w:rPr>
                <w:color w:val="000000"/>
                <w:sz w:val="24"/>
                <w:szCs w:val="24"/>
                <w:lang w:eastAsia="ru-RU"/>
              </w:rPr>
            </w:pPr>
          </w:p>
          <w:p w:rsidR="00310F1B" w:rsidRPr="00517164" w:rsidRDefault="00310F1B" w:rsidP="00384541">
            <w:pPr>
              <w:keepNext/>
              <w:ind w:firstLine="48"/>
              <w:jc w:val="both"/>
              <w:rPr>
                <w:color w:val="000000"/>
                <w:sz w:val="24"/>
                <w:szCs w:val="24"/>
                <w:lang w:eastAsia="ru-RU"/>
              </w:rPr>
            </w:pPr>
            <w:r w:rsidRPr="00517164">
              <w:rPr>
                <w:color w:val="000000"/>
                <w:sz w:val="24"/>
                <w:szCs w:val="24"/>
                <w:lang w:eastAsia="ru-RU"/>
              </w:rPr>
              <w:t>Коментарі щодо присвоєння відповідного бала</w:t>
            </w:r>
          </w:p>
        </w:tc>
      </w:tr>
      <w:tr w:rsidR="00310F1B" w:rsidRPr="00517164" w:rsidTr="00310F1B">
        <w:tc>
          <w:tcPr>
            <w:tcW w:w="2235" w:type="dxa"/>
            <w:vAlign w:val="center"/>
          </w:tcPr>
          <w:p w:rsidR="00310F1B" w:rsidRPr="00517164" w:rsidRDefault="00310F1B" w:rsidP="005077F2">
            <w:pPr>
              <w:keepNext/>
              <w:jc w:val="center"/>
              <w:rPr>
                <w:color w:val="000000"/>
                <w:sz w:val="24"/>
                <w:szCs w:val="24"/>
                <w:lang w:eastAsia="ru-RU"/>
              </w:rPr>
            </w:pPr>
            <w:r w:rsidRPr="00517164">
              <w:rPr>
                <w:color w:val="000000"/>
                <w:sz w:val="24"/>
                <w:szCs w:val="24"/>
                <w:lang w:eastAsia="ru-RU"/>
              </w:rPr>
              <w:t>Альтернатива 1</w:t>
            </w:r>
          </w:p>
        </w:tc>
        <w:tc>
          <w:tcPr>
            <w:tcW w:w="2268" w:type="dxa"/>
            <w:vAlign w:val="center"/>
          </w:tcPr>
          <w:p w:rsidR="00310F1B" w:rsidRPr="00517164" w:rsidRDefault="00310F1B" w:rsidP="005077F2">
            <w:pPr>
              <w:keepNext/>
              <w:jc w:val="center"/>
              <w:rPr>
                <w:color w:val="000000"/>
                <w:sz w:val="24"/>
                <w:szCs w:val="24"/>
                <w:lang w:eastAsia="ru-RU"/>
              </w:rPr>
            </w:pPr>
            <w:r w:rsidRPr="00517164">
              <w:rPr>
                <w:color w:val="000000"/>
                <w:sz w:val="24"/>
                <w:szCs w:val="24"/>
                <w:lang w:eastAsia="ru-RU"/>
              </w:rPr>
              <w:t>3</w:t>
            </w:r>
          </w:p>
        </w:tc>
        <w:tc>
          <w:tcPr>
            <w:tcW w:w="5351" w:type="dxa"/>
          </w:tcPr>
          <w:p w:rsidR="00310F1B" w:rsidRPr="00517164" w:rsidRDefault="00310F1B" w:rsidP="00384541">
            <w:pPr>
              <w:keepNext/>
              <w:ind w:firstLine="48"/>
              <w:jc w:val="both"/>
              <w:rPr>
                <w:color w:val="000000"/>
                <w:sz w:val="24"/>
                <w:szCs w:val="24"/>
                <w:lang w:eastAsia="ru-RU"/>
              </w:rPr>
            </w:pPr>
            <w:r w:rsidRPr="00517164">
              <w:rPr>
                <w:color w:val="000000"/>
                <w:sz w:val="24"/>
                <w:szCs w:val="24"/>
                <w:lang w:eastAsia="ru-RU"/>
              </w:rPr>
              <w:t>Дає змогу повністю досягнути поставлен</w:t>
            </w:r>
            <w:r w:rsidR="00FC765F" w:rsidRPr="00517164">
              <w:rPr>
                <w:color w:val="000000"/>
                <w:sz w:val="24"/>
                <w:szCs w:val="24"/>
                <w:lang w:eastAsia="ru-RU"/>
              </w:rPr>
              <w:t>их цілей державного регулювання</w:t>
            </w:r>
          </w:p>
          <w:p w:rsidR="00310F1B" w:rsidRPr="00517164" w:rsidRDefault="00310F1B" w:rsidP="00384541">
            <w:pPr>
              <w:keepNext/>
              <w:ind w:firstLine="48"/>
              <w:jc w:val="both"/>
              <w:rPr>
                <w:color w:val="000000"/>
                <w:sz w:val="24"/>
                <w:szCs w:val="24"/>
                <w:lang w:eastAsia="ru-RU"/>
              </w:rPr>
            </w:pPr>
          </w:p>
        </w:tc>
      </w:tr>
      <w:tr w:rsidR="00310F1B" w:rsidRPr="00517164" w:rsidTr="00310F1B">
        <w:tc>
          <w:tcPr>
            <w:tcW w:w="2235" w:type="dxa"/>
          </w:tcPr>
          <w:p w:rsidR="00310F1B" w:rsidRPr="00517164" w:rsidRDefault="00310F1B" w:rsidP="005077F2">
            <w:pPr>
              <w:keepNext/>
              <w:jc w:val="both"/>
              <w:rPr>
                <w:color w:val="000000"/>
                <w:sz w:val="24"/>
                <w:szCs w:val="24"/>
                <w:lang w:eastAsia="ru-RU"/>
              </w:rPr>
            </w:pPr>
          </w:p>
          <w:p w:rsidR="00310F1B" w:rsidRPr="00517164" w:rsidRDefault="00310F1B" w:rsidP="005077F2">
            <w:pPr>
              <w:keepNext/>
              <w:jc w:val="center"/>
              <w:rPr>
                <w:color w:val="000000"/>
                <w:sz w:val="24"/>
                <w:szCs w:val="24"/>
                <w:lang w:eastAsia="ru-RU"/>
              </w:rPr>
            </w:pPr>
            <w:r w:rsidRPr="00517164">
              <w:rPr>
                <w:color w:val="000000"/>
                <w:sz w:val="24"/>
                <w:szCs w:val="24"/>
                <w:lang w:eastAsia="ru-RU"/>
              </w:rPr>
              <w:t>Альтернатива 2</w:t>
            </w:r>
          </w:p>
        </w:tc>
        <w:tc>
          <w:tcPr>
            <w:tcW w:w="2268" w:type="dxa"/>
          </w:tcPr>
          <w:p w:rsidR="00310F1B" w:rsidRPr="00517164" w:rsidRDefault="00310F1B" w:rsidP="005077F2">
            <w:pPr>
              <w:keepNext/>
              <w:jc w:val="center"/>
              <w:rPr>
                <w:color w:val="000000"/>
                <w:sz w:val="24"/>
                <w:szCs w:val="24"/>
                <w:lang w:eastAsia="ru-RU"/>
              </w:rPr>
            </w:pPr>
          </w:p>
          <w:p w:rsidR="00310F1B" w:rsidRPr="00517164" w:rsidRDefault="00310F1B" w:rsidP="005077F2">
            <w:pPr>
              <w:keepNext/>
              <w:jc w:val="center"/>
              <w:rPr>
                <w:color w:val="000000"/>
                <w:sz w:val="24"/>
                <w:szCs w:val="24"/>
                <w:lang w:eastAsia="ru-RU"/>
              </w:rPr>
            </w:pPr>
            <w:r w:rsidRPr="00517164">
              <w:rPr>
                <w:color w:val="000000"/>
                <w:sz w:val="24"/>
                <w:szCs w:val="24"/>
                <w:lang w:eastAsia="ru-RU"/>
              </w:rPr>
              <w:t>1</w:t>
            </w:r>
          </w:p>
        </w:tc>
        <w:tc>
          <w:tcPr>
            <w:tcW w:w="5351" w:type="dxa"/>
          </w:tcPr>
          <w:p w:rsidR="00310F1B" w:rsidRPr="00517164" w:rsidRDefault="00310F1B" w:rsidP="00890225">
            <w:pPr>
              <w:keepNext/>
              <w:ind w:left="48"/>
              <w:jc w:val="both"/>
              <w:rPr>
                <w:color w:val="000000"/>
                <w:sz w:val="24"/>
                <w:szCs w:val="24"/>
                <w:lang w:eastAsia="ru-RU"/>
              </w:rPr>
            </w:pPr>
            <w:r w:rsidRPr="00517164">
              <w:rPr>
                <w:color w:val="000000"/>
                <w:sz w:val="24"/>
                <w:szCs w:val="24"/>
                <w:lang w:eastAsia="ru-RU"/>
              </w:rPr>
              <w:t>Не дає змоги досягнути поставлених цілей державного регулювання.</w:t>
            </w:r>
          </w:p>
          <w:p w:rsidR="00310F1B" w:rsidRPr="00517164" w:rsidRDefault="00310F1B" w:rsidP="00890225">
            <w:pPr>
              <w:keepNext/>
              <w:ind w:left="48"/>
              <w:rPr>
                <w:color w:val="000000"/>
                <w:sz w:val="24"/>
                <w:szCs w:val="24"/>
                <w:lang w:eastAsia="ru-RU"/>
              </w:rPr>
            </w:pPr>
            <w:r w:rsidRPr="00517164">
              <w:rPr>
                <w:color w:val="000000"/>
                <w:sz w:val="24"/>
                <w:szCs w:val="24"/>
                <w:lang w:eastAsia="ru-RU"/>
              </w:rPr>
              <w:t>Проблема продовжує існувати</w:t>
            </w:r>
          </w:p>
        </w:tc>
      </w:tr>
    </w:tbl>
    <w:p w:rsidR="00794EF8" w:rsidRPr="00517164" w:rsidRDefault="00794EF8" w:rsidP="00384541">
      <w:pPr>
        <w:spacing w:after="0" w:line="240" w:lineRule="auto"/>
        <w:ind w:firstLine="567"/>
        <w:jc w:val="both"/>
        <w:rPr>
          <w:rFonts w:ascii="Times New Roman" w:hAnsi="Times New Roman" w:cs="Times New Roman"/>
          <w:sz w:val="28"/>
          <w:szCs w:val="28"/>
        </w:rPr>
      </w:pPr>
    </w:p>
    <w:p w:rsidR="00D11F94" w:rsidRPr="00517164" w:rsidRDefault="00D11F94" w:rsidP="00384541">
      <w:pPr>
        <w:keepNext/>
        <w:spacing w:after="0" w:line="240" w:lineRule="auto"/>
        <w:ind w:firstLine="567"/>
        <w:jc w:val="both"/>
        <w:rPr>
          <w:rFonts w:ascii="Times New Roman" w:eastAsia="Times New Roman" w:hAnsi="Times New Roman" w:cs="Times New Roman"/>
          <w:color w:val="FFFFFF" w:themeColor="background1"/>
          <w:sz w:val="24"/>
          <w:szCs w:val="24"/>
          <w:lang w:eastAsia="ru-RU"/>
        </w:rPr>
      </w:pPr>
    </w:p>
    <w:tbl>
      <w:tblPr>
        <w:tblStyle w:val="5"/>
        <w:tblW w:w="0" w:type="auto"/>
        <w:tblLayout w:type="fixed"/>
        <w:tblLook w:val="04A0" w:firstRow="1" w:lastRow="0" w:firstColumn="1" w:lastColumn="0" w:noHBand="0" w:noVBand="1"/>
      </w:tblPr>
      <w:tblGrid>
        <w:gridCol w:w="1951"/>
        <w:gridCol w:w="2977"/>
        <w:gridCol w:w="2835"/>
        <w:gridCol w:w="2091"/>
      </w:tblGrid>
      <w:tr w:rsidR="00D11F94" w:rsidRPr="00517164" w:rsidTr="00755F3D">
        <w:tc>
          <w:tcPr>
            <w:tcW w:w="1951" w:type="dxa"/>
            <w:vAlign w:val="center"/>
          </w:tcPr>
          <w:p w:rsidR="00D11F94" w:rsidRPr="00517164" w:rsidRDefault="00D11F94" w:rsidP="00890225">
            <w:pPr>
              <w:keepNext/>
              <w:jc w:val="center"/>
              <w:rPr>
                <w:color w:val="000000"/>
                <w:sz w:val="24"/>
                <w:szCs w:val="24"/>
                <w:lang w:eastAsia="ru-RU"/>
              </w:rPr>
            </w:pPr>
            <w:r w:rsidRPr="00517164">
              <w:rPr>
                <w:color w:val="000000"/>
                <w:sz w:val="24"/>
                <w:szCs w:val="24"/>
                <w:lang w:eastAsia="ru-RU"/>
              </w:rPr>
              <w:t>Рейтинг результативності</w:t>
            </w:r>
          </w:p>
        </w:tc>
        <w:tc>
          <w:tcPr>
            <w:tcW w:w="2977" w:type="dxa"/>
            <w:vAlign w:val="center"/>
          </w:tcPr>
          <w:p w:rsidR="00D11F94" w:rsidRPr="00517164" w:rsidRDefault="00D11F94" w:rsidP="00890225">
            <w:pPr>
              <w:keepNext/>
              <w:jc w:val="center"/>
              <w:rPr>
                <w:color w:val="000000"/>
                <w:sz w:val="24"/>
                <w:szCs w:val="24"/>
                <w:lang w:eastAsia="ru-RU"/>
              </w:rPr>
            </w:pPr>
            <w:r w:rsidRPr="00517164">
              <w:rPr>
                <w:color w:val="000000"/>
                <w:sz w:val="24"/>
                <w:szCs w:val="24"/>
                <w:lang w:eastAsia="ru-RU"/>
              </w:rPr>
              <w:t>Вигоди (підсумок)</w:t>
            </w:r>
          </w:p>
        </w:tc>
        <w:tc>
          <w:tcPr>
            <w:tcW w:w="2835" w:type="dxa"/>
            <w:vAlign w:val="center"/>
          </w:tcPr>
          <w:p w:rsidR="00D11F94" w:rsidRPr="00517164" w:rsidRDefault="00D11F94" w:rsidP="00890225">
            <w:pPr>
              <w:keepNext/>
              <w:jc w:val="center"/>
              <w:rPr>
                <w:color w:val="000000"/>
                <w:sz w:val="24"/>
                <w:szCs w:val="24"/>
                <w:lang w:eastAsia="ru-RU"/>
              </w:rPr>
            </w:pPr>
            <w:r w:rsidRPr="00517164">
              <w:rPr>
                <w:color w:val="000000"/>
                <w:sz w:val="24"/>
                <w:szCs w:val="24"/>
                <w:lang w:eastAsia="ru-RU"/>
              </w:rPr>
              <w:t>Витрати (підсумок)</w:t>
            </w:r>
          </w:p>
        </w:tc>
        <w:tc>
          <w:tcPr>
            <w:tcW w:w="2091" w:type="dxa"/>
          </w:tcPr>
          <w:p w:rsidR="00D11F94" w:rsidRPr="00517164" w:rsidRDefault="00D11F94" w:rsidP="00890225">
            <w:pPr>
              <w:keepNext/>
              <w:jc w:val="center"/>
              <w:rPr>
                <w:color w:val="000000"/>
                <w:sz w:val="24"/>
                <w:szCs w:val="24"/>
                <w:lang w:eastAsia="ru-RU"/>
              </w:rPr>
            </w:pPr>
            <w:r w:rsidRPr="00517164">
              <w:rPr>
                <w:color w:val="000000"/>
                <w:sz w:val="24"/>
                <w:szCs w:val="24"/>
                <w:lang w:eastAsia="ru-RU"/>
              </w:rPr>
              <w:t>Обґрунтування відповідного місця альтернативи у рейтингу</w:t>
            </w:r>
          </w:p>
        </w:tc>
      </w:tr>
      <w:tr w:rsidR="00771DD7" w:rsidRPr="00517164" w:rsidTr="00755F3D">
        <w:tc>
          <w:tcPr>
            <w:tcW w:w="1951" w:type="dxa"/>
          </w:tcPr>
          <w:p w:rsidR="00771DD7" w:rsidRPr="00517164" w:rsidRDefault="00771DD7" w:rsidP="00890225">
            <w:pPr>
              <w:keepNext/>
              <w:jc w:val="both"/>
              <w:rPr>
                <w:color w:val="000000"/>
                <w:sz w:val="24"/>
                <w:szCs w:val="24"/>
                <w:lang w:eastAsia="ru-RU"/>
              </w:rPr>
            </w:pPr>
            <w:r w:rsidRPr="00517164">
              <w:rPr>
                <w:color w:val="000000"/>
                <w:sz w:val="24"/>
                <w:szCs w:val="24"/>
                <w:lang w:eastAsia="ru-RU"/>
              </w:rPr>
              <w:t>Альтернатива 1</w:t>
            </w:r>
          </w:p>
        </w:tc>
        <w:tc>
          <w:tcPr>
            <w:tcW w:w="2977" w:type="dxa"/>
          </w:tcPr>
          <w:p w:rsidR="00771DD7" w:rsidRPr="00517164" w:rsidRDefault="00771DD7" w:rsidP="00890225">
            <w:pPr>
              <w:keepNext/>
              <w:jc w:val="both"/>
              <w:rPr>
                <w:bCs/>
                <w:color w:val="000000"/>
                <w:sz w:val="24"/>
                <w:szCs w:val="24"/>
                <w:lang w:eastAsia="ru-RU"/>
              </w:rPr>
            </w:pPr>
            <w:r w:rsidRPr="00517164">
              <w:rPr>
                <w:bCs/>
                <w:color w:val="000000"/>
                <w:sz w:val="24"/>
                <w:szCs w:val="24"/>
                <w:lang w:eastAsia="ru-RU"/>
              </w:rPr>
              <w:t xml:space="preserve">Прийняття проекту акта надасть можливість правового забезпечення та практичної реалізації взаємодії органів доходів і зборів та суб’єктів господарювання при поверненні коштів авансових платежів з </w:t>
            </w:r>
            <w:r w:rsidR="00EC5096" w:rsidRPr="00517164">
              <w:rPr>
                <w:bCs/>
                <w:color w:val="000000"/>
                <w:sz w:val="24"/>
                <w:szCs w:val="24"/>
                <w:lang w:eastAsia="ru-RU"/>
              </w:rPr>
              <w:t>«єдиного рахунку»</w:t>
            </w:r>
          </w:p>
          <w:p w:rsidR="00771DD7" w:rsidRPr="00517164" w:rsidRDefault="00771DD7" w:rsidP="00890225">
            <w:pPr>
              <w:keepNext/>
              <w:jc w:val="both"/>
              <w:rPr>
                <w:bCs/>
                <w:color w:val="000000"/>
                <w:sz w:val="24"/>
                <w:szCs w:val="24"/>
                <w:lang w:eastAsia="ru-RU"/>
              </w:rPr>
            </w:pPr>
          </w:p>
          <w:p w:rsidR="00771DD7" w:rsidRPr="00517164" w:rsidRDefault="00771DD7" w:rsidP="00890225">
            <w:pPr>
              <w:keepNext/>
              <w:jc w:val="both"/>
              <w:rPr>
                <w:lang w:eastAsia="ru-RU"/>
              </w:rPr>
            </w:pPr>
          </w:p>
        </w:tc>
        <w:tc>
          <w:tcPr>
            <w:tcW w:w="2835" w:type="dxa"/>
          </w:tcPr>
          <w:p w:rsidR="00771DD7" w:rsidRPr="00517164" w:rsidRDefault="00771DD7" w:rsidP="00890225">
            <w:pPr>
              <w:pStyle w:val="a5"/>
              <w:spacing w:before="0" w:beforeAutospacing="0" w:after="0" w:afterAutospacing="0"/>
              <w:jc w:val="both"/>
            </w:pPr>
            <w:r w:rsidRPr="00517164">
              <w:t>Додаткових витрат  держави не виникне.</w:t>
            </w:r>
          </w:p>
          <w:p w:rsidR="00771DD7" w:rsidRPr="00517164" w:rsidRDefault="00771DD7" w:rsidP="00890225">
            <w:pPr>
              <w:keepNext/>
              <w:jc w:val="both"/>
              <w:rPr>
                <w:color w:val="000000"/>
                <w:sz w:val="28"/>
                <w:szCs w:val="28"/>
                <w:lang w:eastAsia="ru-RU"/>
              </w:rPr>
            </w:pPr>
            <w:r w:rsidRPr="00517164">
              <w:rPr>
                <w:sz w:val="24"/>
                <w:szCs w:val="24"/>
                <w:lang w:eastAsia="ru-RU"/>
              </w:rPr>
              <w:t>Доопрацювання відповідних автоматизованих програмно-інформаційних комплексів ДФС та Казначейства для реалізації запроваджених змін здійснюватимуться в межах</w:t>
            </w:r>
            <w:r w:rsidR="00EC5096" w:rsidRPr="00517164">
              <w:rPr>
                <w:sz w:val="24"/>
                <w:szCs w:val="24"/>
                <w:lang w:eastAsia="ru-RU"/>
              </w:rPr>
              <w:t xml:space="preserve"> фінансування державних органів</w:t>
            </w:r>
          </w:p>
        </w:tc>
        <w:tc>
          <w:tcPr>
            <w:tcW w:w="2091" w:type="dxa"/>
          </w:tcPr>
          <w:p w:rsidR="00771DD7" w:rsidRPr="00517164" w:rsidRDefault="0070554B" w:rsidP="005C1101">
            <w:pPr>
              <w:keepNext/>
              <w:rPr>
                <w:color w:val="000000"/>
                <w:sz w:val="24"/>
                <w:szCs w:val="24"/>
                <w:lang w:eastAsia="ru-RU"/>
              </w:rPr>
            </w:pPr>
            <w:r>
              <w:rPr>
                <w:sz w:val="24"/>
                <w:szCs w:val="24"/>
              </w:rPr>
              <w:t>Є</w:t>
            </w:r>
            <w:r w:rsidRPr="0070554B">
              <w:rPr>
                <w:sz w:val="24"/>
                <w:szCs w:val="24"/>
                <w:lang w:val="ru-RU"/>
              </w:rPr>
              <w:t xml:space="preserve"> </w:t>
            </w:r>
            <w:r w:rsidR="005C1101">
              <w:rPr>
                <w:sz w:val="24"/>
                <w:szCs w:val="24"/>
              </w:rPr>
              <w:t>найоптимальнішою</w:t>
            </w:r>
            <w:r w:rsidR="005C1101" w:rsidRPr="005C1101">
              <w:rPr>
                <w:sz w:val="24"/>
                <w:szCs w:val="24"/>
                <w:lang w:val="ru-RU"/>
              </w:rPr>
              <w:t xml:space="preserve">     </w:t>
            </w:r>
            <w:r w:rsidR="00771DD7" w:rsidRPr="00517164">
              <w:rPr>
                <w:sz w:val="24"/>
                <w:szCs w:val="24"/>
              </w:rPr>
              <w:t>серед запропонованих альтернатив, оскільки</w:t>
            </w:r>
            <w:r w:rsidR="00771DD7" w:rsidRPr="00517164">
              <w:rPr>
                <w:color w:val="000000"/>
                <w:sz w:val="24"/>
                <w:szCs w:val="24"/>
                <w:lang w:eastAsia="ru-RU"/>
              </w:rPr>
              <w:t>:</w:t>
            </w:r>
          </w:p>
          <w:p w:rsidR="00771DD7" w:rsidRPr="00517164" w:rsidRDefault="00771DD7" w:rsidP="005C1101">
            <w:pPr>
              <w:keepNext/>
              <w:rPr>
                <w:color w:val="000000"/>
                <w:sz w:val="24"/>
                <w:szCs w:val="24"/>
                <w:lang w:eastAsia="ru-RU"/>
              </w:rPr>
            </w:pPr>
            <w:r w:rsidRPr="00517164">
              <w:rPr>
                <w:color w:val="000000"/>
                <w:sz w:val="24"/>
                <w:szCs w:val="24"/>
                <w:lang w:eastAsia="ru-RU"/>
              </w:rPr>
              <w:t>1) дає змогу повністю досягнути поставлених цілей державного регулювання;</w:t>
            </w:r>
          </w:p>
          <w:p w:rsidR="00771DD7" w:rsidRPr="00517164" w:rsidRDefault="00771DD7" w:rsidP="005C1101">
            <w:pPr>
              <w:keepNext/>
              <w:rPr>
                <w:color w:val="000000"/>
                <w:sz w:val="24"/>
                <w:szCs w:val="24"/>
                <w:lang w:eastAsia="ru-RU"/>
              </w:rPr>
            </w:pPr>
            <w:r w:rsidRPr="00517164">
              <w:rPr>
                <w:color w:val="000000"/>
                <w:sz w:val="24"/>
                <w:szCs w:val="24"/>
                <w:lang w:eastAsia="ru-RU"/>
              </w:rPr>
              <w:t>2) у разі прийняття наказу будуть реалізовані вимоги частини п’ятої статті 299</w:t>
            </w:r>
            <w:r w:rsidR="00890225" w:rsidRPr="00517164">
              <w:rPr>
                <w:color w:val="000000"/>
                <w:sz w:val="24"/>
                <w:szCs w:val="24"/>
                <w:lang w:eastAsia="ru-RU"/>
              </w:rPr>
              <w:t>, частини третьої статті 301</w:t>
            </w:r>
            <w:r w:rsidRPr="00517164">
              <w:rPr>
                <w:color w:val="000000"/>
                <w:sz w:val="24"/>
                <w:szCs w:val="24"/>
                <w:lang w:eastAsia="ru-RU"/>
              </w:rPr>
              <w:t xml:space="preserve"> Кодексу</w:t>
            </w:r>
            <w:r w:rsidR="009D7272" w:rsidRPr="00517164">
              <w:rPr>
                <w:color w:val="000000"/>
                <w:sz w:val="24"/>
                <w:szCs w:val="24"/>
                <w:lang w:eastAsia="ru-RU"/>
              </w:rPr>
              <w:t xml:space="preserve"> та приведення нормативного </w:t>
            </w:r>
            <w:proofErr w:type="spellStart"/>
            <w:r w:rsidR="009D7272" w:rsidRPr="00517164">
              <w:rPr>
                <w:color w:val="000000"/>
                <w:sz w:val="24"/>
                <w:szCs w:val="24"/>
                <w:lang w:eastAsia="ru-RU"/>
              </w:rPr>
              <w:t>акт</w:t>
            </w:r>
            <w:r w:rsidR="00E92565" w:rsidRPr="00517164">
              <w:rPr>
                <w:color w:val="000000"/>
                <w:sz w:val="24"/>
                <w:szCs w:val="24"/>
                <w:lang w:eastAsia="ru-RU"/>
              </w:rPr>
              <w:t>а</w:t>
            </w:r>
            <w:proofErr w:type="spellEnd"/>
            <w:r w:rsidR="009D7272" w:rsidRPr="00517164">
              <w:rPr>
                <w:color w:val="000000"/>
                <w:sz w:val="24"/>
                <w:szCs w:val="24"/>
                <w:lang w:eastAsia="ru-RU"/>
              </w:rPr>
              <w:t xml:space="preserve"> у відповідність до положень наказу Міністерства фінансів України від 01.11.2017 № 898</w:t>
            </w:r>
          </w:p>
        </w:tc>
      </w:tr>
      <w:tr w:rsidR="00771DD7" w:rsidRPr="00517164" w:rsidTr="00755F3D">
        <w:tc>
          <w:tcPr>
            <w:tcW w:w="1951" w:type="dxa"/>
          </w:tcPr>
          <w:p w:rsidR="00771DD7" w:rsidRPr="00517164" w:rsidRDefault="00771DD7" w:rsidP="00890225">
            <w:pPr>
              <w:keepNext/>
              <w:jc w:val="both"/>
              <w:rPr>
                <w:color w:val="000000"/>
                <w:sz w:val="24"/>
                <w:szCs w:val="24"/>
                <w:lang w:eastAsia="ru-RU"/>
              </w:rPr>
            </w:pPr>
            <w:r w:rsidRPr="00517164">
              <w:rPr>
                <w:color w:val="000000"/>
                <w:sz w:val="24"/>
                <w:szCs w:val="24"/>
                <w:lang w:eastAsia="ru-RU"/>
              </w:rPr>
              <w:t>Альтернатива 2</w:t>
            </w:r>
          </w:p>
        </w:tc>
        <w:tc>
          <w:tcPr>
            <w:tcW w:w="2977" w:type="dxa"/>
          </w:tcPr>
          <w:p w:rsidR="00771DD7" w:rsidRPr="00517164" w:rsidRDefault="00771DD7" w:rsidP="00890225">
            <w:pPr>
              <w:keepNext/>
              <w:jc w:val="both"/>
              <w:rPr>
                <w:color w:val="000000"/>
                <w:sz w:val="24"/>
                <w:szCs w:val="24"/>
                <w:lang w:eastAsia="ru-RU"/>
              </w:rPr>
            </w:pPr>
            <w:r w:rsidRPr="00517164">
              <w:rPr>
                <w:color w:val="000000"/>
                <w:sz w:val="24"/>
                <w:szCs w:val="24"/>
                <w:lang w:eastAsia="ru-RU"/>
              </w:rPr>
              <w:t>Вигоди відсутні, оскільки проблема залишається не</w:t>
            </w:r>
            <w:r w:rsidRPr="00517164">
              <w:rPr>
                <w:color w:val="000000"/>
                <w:sz w:val="24"/>
                <w:szCs w:val="24"/>
                <w:lang w:val="ru-RU" w:eastAsia="ru-RU"/>
              </w:rPr>
              <w:t xml:space="preserve"> </w:t>
            </w:r>
            <w:r w:rsidRPr="00517164">
              <w:rPr>
                <w:color w:val="000000"/>
                <w:sz w:val="24"/>
                <w:szCs w:val="24"/>
                <w:lang w:eastAsia="ru-RU"/>
              </w:rPr>
              <w:t>вирішеною</w:t>
            </w:r>
          </w:p>
        </w:tc>
        <w:tc>
          <w:tcPr>
            <w:tcW w:w="2835" w:type="dxa"/>
          </w:tcPr>
          <w:p w:rsidR="00771DD7" w:rsidRPr="00517164" w:rsidRDefault="00771DD7" w:rsidP="00890225">
            <w:pPr>
              <w:keepNext/>
              <w:jc w:val="both"/>
              <w:rPr>
                <w:color w:val="000000"/>
                <w:sz w:val="24"/>
                <w:szCs w:val="24"/>
                <w:lang w:eastAsia="ru-RU"/>
              </w:rPr>
            </w:pPr>
            <w:r w:rsidRPr="00517164">
              <w:rPr>
                <w:color w:val="000000"/>
                <w:sz w:val="24"/>
                <w:szCs w:val="24"/>
                <w:lang w:eastAsia="ru-RU"/>
              </w:rPr>
              <w:t>У разі відсутності нормативно-правового акта не буде досягнуто поставлен</w:t>
            </w:r>
            <w:r w:rsidR="00EC5096" w:rsidRPr="00517164">
              <w:rPr>
                <w:color w:val="000000"/>
                <w:sz w:val="24"/>
                <w:szCs w:val="24"/>
                <w:lang w:eastAsia="ru-RU"/>
              </w:rPr>
              <w:t>их цілей державного регулювання</w:t>
            </w:r>
          </w:p>
          <w:p w:rsidR="00771DD7" w:rsidRPr="00517164" w:rsidRDefault="00771DD7" w:rsidP="00890225">
            <w:pPr>
              <w:keepNext/>
              <w:jc w:val="both"/>
              <w:rPr>
                <w:color w:val="000000"/>
                <w:sz w:val="24"/>
                <w:szCs w:val="24"/>
                <w:lang w:val="ru-RU" w:eastAsia="ru-RU"/>
              </w:rPr>
            </w:pPr>
          </w:p>
        </w:tc>
        <w:tc>
          <w:tcPr>
            <w:tcW w:w="2091" w:type="dxa"/>
          </w:tcPr>
          <w:p w:rsidR="00771DD7" w:rsidRPr="00517164" w:rsidRDefault="00771DD7" w:rsidP="00890225">
            <w:pPr>
              <w:keepNext/>
              <w:jc w:val="both"/>
              <w:rPr>
                <w:color w:val="000000"/>
                <w:sz w:val="24"/>
                <w:szCs w:val="24"/>
                <w:lang w:eastAsia="ru-RU"/>
              </w:rPr>
            </w:pPr>
            <w:r w:rsidRPr="00517164">
              <w:rPr>
                <w:color w:val="000000"/>
                <w:sz w:val="24"/>
                <w:szCs w:val="24"/>
                <w:lang w:eastAsia="ru-RU"/>
              </w:rPr>
              <w:t>Є гіршою серед альтернатив, оскільки не дасть змоги досягнути цілей державного регулювання</w:t>
            </w:r>
          </w:p>
        </w:tc>
      </w:tr>
    </w:tbl>
    <w:p w:rsidR="00D11F94" w:rsidRPr="00517164" w:rsidRDefault="00D11F94" w:rsidP="00384541">
      <w:pPr>
        <w:spacing w:after="0" w:line="240" w:lineRule="auto"/>
        <w:ind w:firstLine="567"/>
        <w:jc w:val="both"/>
        <w:rPr>
          <w:rFonts w:ascii="Times New Roman" w:hAnsi="Times New Roman" w:cs="Times New Roman"/>
          <w:strike/>
          <w:sz w:val="28"/>
          <w:szCs w:val="28"/>
        </w:rPr>
      </w:pPr>
    </w:p>
    <w:p w:rsidR="00C77438" w:rsidRPr="00517164" w:rsidRDefault="00C77438" w:rsidP="00384541">
      <w:pPr>
        <w:spacing w:after="0" w:line="240" w:lineRule="auto"/>
        <w:ind w:firstLine="567"/>
        <w:jc w:val="both"/>
        <w:rPr>
          <w:rFonts w:ascii="Times New Roman" w:hAnsi="Times New Roman" w:cs="Times New Roman"/>
          <w:b/>
          <w:sz w:val="28"/>
          <w:szCs w:val="28"/>
        </w:rPr>
      </w:pPr>
      <w:r w:rsidRPr="00517164">
        <w:rPr>
          <w:rFonts w:ascii="Times New Roman" w:hAnsi="Times New Roman" w:cs="Times New Roman"/>
          <w:b/>
          <w:sz w:val="28"/>
          <w:szCs w:val="28"/>
        </w:rPr>
        <w:t>V. Механізми та заходи, які забезпечать розв’язання визначеної проблеми</w:t>
      </w:r>
    </w:p>
    <w:p w:rsidR="00C77438" w:rsidRPr="00517164" w:rsidRDefault="00C77438" w:rsidP="00384541">
      <w:pPr>
        <w:spacing w:after="0" w:line="240" w:lineRule="auto"/>
        <w:ind w:firstLine="567"/>
        <w:jc w:val="both"/>
        <w:rPr>
          <w:rFonts w:ascii="Times New Roman" w:hAnsi="Times New Roman" w:cs="Times New Roman"/>
          <w:b/>
          <w:sz w:val="28"/>
          <w:szCs w:val="28"/>
        </w:rPr>
      </w:pPr>
    </w:p>
    <w:p w:rsidR="009D7272" w:rsidRPr="00517164" w:rsidRDefault="006C488A"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i/>
          <w:sz w:val="28"/>
          <w:szCs w:val="28"/>
        </w:rPr>
        <w:t xml:space="preserve">1. Механізм дії регуляторного </w:t>
      </w:r>
      <w:proofErr w:type="spellStart"/>
      <w:r w:rsidRPr="00517164">
        <w:rPr>
          <w:rFonts w:ascii="Times New Roman" w:hAnsi="Times New Roman" w:cs="Times New Roman"/>
          <w:i/>
          <w:sz w:val="28"/>
          <w:szCs w:val="28"/>
        </w:rPr>
        <w:t>акта</w:t>
      </w:r>
      <w:proofErr w:type="spellEnd"/>
      <w:r w:rsidRPr="00517164">
        <w:rPr>
          <w:rFonts w:ascii="Times New Roman" w:hAnsi="Times New Roman" w:cs="Times New Roman"/>
          <w:sz w:val="28"/>
          <w:szCs w:val="28"/>
        </w:rPr>
        <w:t>.</w:t>
      </w:r>
    </w:p>
    <w:p w:rsidR="006C488A" w:rsidRPr="00517164" w:rsidRDefault="006C488A" w:rsidP="00384541">
      <w:pPr>
        <w:spacing w:after="0" w:line="240" w:lineRule="auto"/>
        <w:ind w:firstLine="567"/>
        <w:jc w:val="both"/>
        <w:rPr>
          <w:rFonts w:ascii="Times New Roman" w:hAnsi="Times New Roman" w:cs="Times New Roman"/>
          <w:b/>
          <w:bCs/>
          <w:sz w:val="28"/>
          <w:szCs w:val="28"/>
        </w:rPr>
      </w:pPr>
      <w:r w:rsidRPr="00517164">
        <w:rPr>
          <w:rFonts w:ascii="Times New Roman" w:hAnsi="Times New Roman" w:cs="Times New Roman"/>
          <w:sz w:val="28"/>
          <w:szCs w:val="28"/>
        </w:rPr>
        <w:t xml:space="preserve">Основним механізмом для розв’язання визначеної проблеми є прийняття проекту наказу Міністерства фінансів України </w:t>
      </w:r>
      <w:r w:rsidR="009D7272" w:rsidRPr="00517164">
        <w:rPr>
          <w:rFonts w:ascii="Times New Roman" w:hAnsi="Times New Roman" w:cs="Times New Roman"/>
          <w:sz w:val="28"/>
          <w:szCs w:val="28"/>
        </w:rPr>
        <w:t>«</w:t>
      </w:r>
      <w:r w:rsidR="009D7272" w:rsidRPr="00517164">
        <w:rPr>
          <w:rFonts w:ascii="Times New Roman" w:hAnsi="Times New Roman" w:cs="Times New Roman"/>
          <w:bCs/>
          <w:sz w:val="28"/>
          <w:szCs w:val="28"/>
        </w:rPr>
        <w:t xml:space="preserve">Про затвердження Змін до Порядку повернення авансових платежів (передоплати) і помилково та/або </w:t>
      </w:r>
      <w:r w:rsidR="009D7272" w:rsidRPr="00517164">
        <w:rPr>
          <w:rFonts w:ascii="Times New Roman" w:hAnsi="Times New Roman" w:cs="Times New Roman"/>
          <w:bCs/>
          <w:sz w:val="28"/>
          <w:szCs w:val="28"/>
        </w:rPr>
        <w:lastRenderedPageBreak/>
        <w:t>надміру сплачених сум митних платежів</w:t>
      </w:r>
      <w:r w:rsidR="009D7272" w:rsidRPr="00517164">
        <w:rPr>
          <w:rFonts w:ascii="Times New Roman" w:hAnsi="Times New Roman" w:cs="Times New Roman"/>
          <w:sz w:val="28"/>
          <w:szCs w:val="28"/>
        </w:rPr>
        <w:t xml:space="preserve">» </w:t>
      </w:r>
      <w:r w:rsidRPr="00517164">
        <w:rPr>
          <w:rFonts w:ascii="Times New Roman" w:hAnsi="Times New Roman" w:cs="Times New Roman"/>
          <w:sz w:val="28"/>
          <w:szCs w:val="28"/>
        </w:rPr>
        <w:t>та фактична реалізація його положень.</w:t>
      </w:r>
    </w:p>
    <w:p w:rsidR="00931298" w:rsidRPr="00517164" w:rsidRDefault="001D71B5"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Реалізація положень наказу сприятиме за</w:t>
      </w:r>
      <w:r w:rsidR="00E40246" w:rsidRPr="00517164">
        <w:rPr>
          <w:rFonts w:ascii="Times New Roman" w:hAnsi="Times New Roman" w:cs="Times New Roman"/>
          <w:sz w:val="28"/>
          <w:szCs w:val="28"/>
        </w:rPr>
        <w:t>провадженню</w:t>
      </w:r>
      <w:r w:rsidRPr="00517164">
        <w:rPr>
          <w:rFonts w:ascii="Times New Roman" w:hAnsi="Times New Roman" w:cs="Times New Roman"/>
          <w:sz w:val="28"/>
          <w:szCs w:val="28"/>
        </w:rPr>
        <w:t xml:space="preserve"> </w:t>
      </w:r>
      <w:r w:rsidR="00647352" w:rsidRPr="00517164">
        <w:rPr>
          <w:rFonts w:ascii="Times New Roman" w:hAnsi="Times New Roman" w:cs="Times New Roman"/>
          <w:sz w:val="28"/>
          <w:szCs w:val="28"/>
        </w:rPr>
        <w:t xml:space="preserve">чіткого порядку </w:t>
      </w:r>
      <w:r w:rsidR="00E40246" w:rsidRPr="00517164">
        <w:rPr>
          <w:rFonts w:ascii="Times New Roman" w:hAnsi="Times New Roman" w:cs="Times New Roman"/>
          <w:sz w:val="28"/>
          <w:szCs w:val="28"/>
        </w:rPr>
        <w:t>повернення коштів авансових платежів (передоплати) зарахованих на «єдиний рахунок».</w:t>
      </w:r>
    </w:p>
    <w:p w:rsidR="008E362F" w:rsidRPr="00517164" w:rsidRDefault="008E362F" w:rsidP="00384541">
      <w:pPr>
        <w:spacing w:after="0" w:line="240" w:lineRule="auto"/>
        <w:ind w:firstLine="567"/>
        <w:jc w:val="both"/>
        <w:rPr>
          <w:rFonts w:ascii="Times New Roman" w:hAnsi="Times New Roman" w:cs="Times New Roman"/>
          <w:i/>
          <w:sz w:val="28"/>
          <w:szCs w:val="28"/>
        </w:rPr>
      </w:pPr>
      <w:r w:rsidRPr="00517164">
        <w:rPr>
          <w:rFonts w:ascii="Times New Roman" w:hAnsi="Times New Roman" w:cs="Times New Roman"/>
          <w:i/>
          <w:sz w:val="28"/>
          <w:szCs w:val="28"/>
        </w:rPr>
        <w:t>2. Організаційні заходи впровадження регуляторного акта в дію.</w:t>
      </w:r>
    </w:p>
    <w:p w:rsidR="00CC5439" w:rsidRPr="00517164" w:rsidRDefault="008E362F"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Для впровадження цього</w:t>
      </w:r>
      <w:r w:rsidR="002844EB" w:rsidRPr="00517164">
        <w:rPr>
          <w:rFonts w:ascii="Times New Roman" w:hAnsi="Times New Roman" w:cs="Times New Roman"/>
          <w:sz w:val="28"/>
          <w:szCs w:val="28"/>
        </w:rPr>
        <w:t xml:space="preserve"> проекту наказу </w:t>
      </w:r>
      <w:r w:rsidRPr="00517164">
        <w:rPr>
          <w:rFonts w:ascii="Times New Roman" w:hAnsi="Times New Roman" w:cs="Times New Roman"/>
          <w:sz w:val="28"/>
          <w:szCs w:val="28"/>
        </w:rPr>
        <w:t>необхідно</w:t>
      </w:r>
      <w:r w:rsidR="00CC5439" w:rsidRPr="00517164">
        <w:rPr>
          <w:rFonts w:ascii="Times New Roman" w:hAnsi="Times New Roman" w:cs="Times New Roman"/>
          <w:sz w:val="28"/>
          <w:szCs w:val="28"/>
        </w:rPr>
        <w:t>:</w:t>
      </w:r>
    </w:p>
    <w:p w:rsidR="008E362F" w:rsidRPr="00517164" w:rsidRDefault="00CC5439"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 </w:t>
      </w:r>
      <w:r w:rsidR="008E362F" w:rsidRPr="00517164">
        <w:rPr>
          <w:rFonts w:ascii="Times New Roman" w:hAnsi="Times New Roman" w:cs="Times New Roman"/>
          <w:sz w:val="28"/>
          <w:szCs w:val="28"/>
        </w:rPr>
        <w:t xml:space="preserve">забезпечити інформування громадськості про вимоги регуляторного </w:t>
      </w:r>
      <w:proofErr w:type="spellStart"/>
      <w:r w:rsidR="008E362F" w:rsidRPr="00517164">
        <w:rPr>
          <w:rFonts w:ascii="Times New Roman" w:hAnsi="Times New Roman" w:cs="Times New Roman"/>
          <w:sz w:val="28"/>
          <w:szCs w:val="28"/>
        </w:rPr>
        <w:t>акта</w:t>
      </w:r>
      <w:proofErr w:type="spellEnd"/>
      <w:r w:rsidR="008E362F" w:rsidRPr="00517164">
        <w:rPr>
          <w:rFonts w:ascii="Times New Roman" w:hAnsi="Times New Roman" w:cs="Times New Roman"/>
          <w:sz w:val="28"/>
          <w:szCs w:val="28"/>
        </w:rPr>
        <w:t xml:space="preserve"> шляхом його оприлюднення в засобах масової інформації</w:t>
      </w:r>
      <w:r w:rsidR="00AD733C" w:rsidRPr="00517164">
        <w:rPr>
          <w:rFonts w:ascii="Times New Roman" w:hAnsi="Times New Roman" w:cs="Times New Roman"/>
          <w:sz w:val="28"/>
          <w:szCs w:val="28"/>
        </w:rPr>
        <w:t>,</w:t>
      </w:r>
      <w:r w:rsidR="008E362F" w:rsidRPr="00517164">
        <w:rPr>
          <w:rFonts w:ascii="Times New Roman" w:hAnsi="Times New Roman" w:cs="Times New Roman"/>
          <w:sz w:val="28"/>
          <w:szCs w:val="28"/>
        </w:rPr>
        <w:t xml:space="preserve"> на офіційн</w:t>
      </w:r>
      <w:r w:rsidR="00AD733C" w:rsidRPr="00517164">
        <w:rPr>
          <w:rFonts w:ascii="Times New Roman" w:hAnsi="Times New Roman" w:cs="Times New Roman"/>
          <w:sz w:val="28"/>
          <w:szCs w:val="28"/>
        </w:rPr>
        <w:t>ому</w:t>
      </w:r>
      <w:r w:rsidR="00A719AB" w:rsidRPr="00517164">
        <w:rPr>
          <w:rFonts w:ascii="Times New Roman" w:hAnsi="Times New Roman" w:cs="Times New Roman"/>
          <w:sz w:val="28"/>
          <w:szCs w:val="28"/>
        </w:rPr>
        <w:t xml:space="preserve"> </w:t>
      </w:r>
      <w:r w:rsidR="008E362F" w:rsidRPr="00517164">
        <w:rPr>
          <w:rFonts w:ascii="Times New Roman" w:hAnsi="Times New Roman" w:cs="Times New Roman"/>
          <w:sz w:val="28"/>
          <w:szCs w:val="28"/>
        </w:rPr>
        <w:t>веб-</w:t>
      </w:r>
      <w:r w:rsidR="00AD733C" w:rsidRPr="00517164">
        <w:rPr>
          <w:rFonts w:ascii="Times New Roman" w:hAnsi="Times New Roman" w:cs="Times New Roman"/>
          <w:sz w:val="28"/>
          <w:szCs w:val="28"/>
        </w:rPr>
        <w:t>порталі ДФС та офіційному веб-сайті</w:t>
      </w:r>
      <w:r w:rsidR="008E362F" w:rsidRPr="00517164">
        <w:rPr>
          <w:rFonts w:ascii="Times New Roman" w:hAnsi="Times New Roman" w:cs="Times New Roman"/>
          <w:sz w:val="28"/>
          <w:szCs w:val="28"/>
        </w:rPr>
        <w:t xml:space="preserve"> Мін</w:t>
      </w:r>
      <w:r w:rsidR="00AD733C" w:rsidRPr="00517164">
        <w:rPr>
          <w:rFonts w:ascii="Times New Roman" w:hAnsi="Times New Roman" w:cs="Times New Roman"/>
          <w:sz w:val="28"/>
          <w:szCs w:val="28"/>
        </w:rPr>
        <w:t xml:space="preserve">істерства </w:t>
      </w:r>
      <w:r w:rsidR="008E362F" w:rsidRPr="00517164">
        <w:rPr>
          <w:rFonts w:ascii="Times New Roman" w:hAnsi="Times New Roman" w:cs="Times New Roman"/>
          <w:sz w:val="28"/>
          <w:szCs w:val="28"/>
        </w:rPr>
        <w:t>фін</w:t>
      </w:r>
      <w:r w:rsidR="00AD733C" w:rsidRPr="00517164">
        <w:rPr>
          <w:rFonts w:ascii="Times New Roman" w:hAnsi="Times New Roman" w:cs="Times New Roman"/>
          <w:sz w:val="28"/>
          <w:szCs w:val="28"/>
        </w:rPr>
        <w:t>ансів</w:t>
      </w:r>
      <w:r w:rsidRPr="00517164">
        <w:rPr>
          <w:rFonts w:ascii="Times New Roman" w:hAnsi="Times New Roman" w:cs="Times New Roman"/>
          <w:sz w:val="28"/>
          <w:szCs w:val="28"/>
        </w:rPr>
        <w:t xml:space="preserve"> України;</w:t>
      </w:r>
    </w:p>
    <w:p w:rsidR="00760DEA" w:rsidRPr="00517164" w:rsidRDefault="00CC5439"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 д</w:t>
      </w:r>
      <w:r w:rsidR="00470819" w:rsidRPr="00517164">
        <w:rPr>
          <w:rFonts w:ascii="Times New Roman" w:hAnsi="Times New Roman" w:cs="Times New Roman"/>
          <w:sz w:val="28"/>
          <w:szCs w:val="28"/>
        </w:rPr>
        <w:t>оопрацюва</w:t>
      </w:r>
      <w:r w:rsidR="000676C4" w:rsidRPr="00517164">
        <w:rPr>
          <w:rFonts w:ascii="Times New Roman" w:hAnsi="Times New Roman" w:cs="Times New Roman"/>
          <w:sz w:val="28"/>
          <w:szCs w:val="28"/>
        </w:rPr>
        <w:t>ти</w:t>
      </w:r>
      <w:r w:rsidR="00470819" w:rsidRPr="00517164">
        <w:rPr>
          <w:rFonts w:ascii="Times New Roman" w:hAnsi="Times New Roman" w:cs="Times New Roman"/>
          <w:sz w:val="28"/>
          <w:szCs w:val="28"/>
        </w:rPr>
        <w:t xml:space="preserve"> відповідн</w:t>
      </w:r>
      <w:r w:rsidR="000676C4" w:rsidRPr="00517164">
        <w:rPr>
          <w:rFonts w:ascii="Times New Roman" w:hAnsi="Times New Roman" w:cs="Times New Roman"/>
          <w:sz w:val="28"/>
          <w:szCs w:val="28"/>
        </w:rPr>
        <w:t>і</w:t>
      </w:r>
      <w:r w:rsidR="00470819" w:rsidRPr="00517164">
        <w:rPr>
          <w:rFonts w:ascii="Times New Roman" w:hAnsi="Times New Roman" w:cs="Times New Roman"/>
          <w:sz w:val="28"/>
          <w:szCs w:val="28"/>
        </w:rPr>
        <w:t xml:space="preserve"> автоматизован</w:t>
      </w:r>
      <w:r w:rsidR="000676C4" w:rsidRPr="00517164">
        <w:rPr>
          <w:rFonts w:ascii="Times New Roman" w:hAnsi="Times New Roman" w:cs="Times New Roman"/>
          <w:sz w:val="28"/>
          <w:szCs w:val="28"/>
        </w:rPr>
        <w:t>і</w:t>
      </w:r>
      <w:r w:rsidR="00470819" w:rsidRPr="00517164">
        <w:rPr>
          <w:rFonts w:ascii="Times New Roman" w:hAnsi="Times New Roman" w:cs="Times New Roman"/>
          <w:sz w:val="28"/>
          <w:szCs w:val="28"/>
        </w:rPr>
        <w:t xml:space="preserve"> інформаційн</w:t>
      </w:r>
      <w:r w:rsidR="000676C4" w:rsidRPr="00517164">
        <w:rPr>
          <w:rFonts w:ascii="Times New Roman" w:hAnsi="Times New Roman" w:cs="Times New Roman"/>
          <w:sz w:val="28"/>
          <w:szCs w:val="28"/>
        </w:rPr>
        <w:t>і</w:t>
      </w:r>
      <w:r w:rsidR="00470819" w:rsidRPr="00517164">
        <w:rPr>
          <w:rFonts w:ascii="Times New Roman" w:hAnsi="Times New Roman" w:cs="Times New Roman"/>
          <w:sz w:val="28"/>
          <w:szCs w:val="28"/>
        </w:rPr>
        <w:t xml:space="preserve"> систем</w:t>
      </w:r>
      <w:r w:rsidR="000676C4" w:rsidRPr="00517164">
        <w:rPr>
          <w:rFonts w:ascii="Times New Roman" w:hAnsi="Times New Roman" w:cs="Times New Roman"/>
          <w:sz w:val="28"/>
          <w:szCs w:val="28"/>
        </w:rPr>
        <w:t>и</w:t>
      </w:r>
      <w:r w:rsidR="00470819" w:rsidRPr="00517164">
        <w:rPr>
          <w:rFonts w:ascii="Times New Roman" w:hAnsi="Times New Roman" w:cs="Times New Roman"/>
          <w:sz w:val="28"/>
          <w:szCs w:val="28"/>
        </w:rPr>
        <w:t xml:space="preserve"> ДФС</w:t>
      </w:r>
      <w:r w:rsidR="00E40246" w:rsidRPr="00517164">
        <w:rPr>
          <w:rFonts w:ascii="Times New Roman" w:hAnsi="Times New Roman" w:cs="Times New Roman"/>
          <w:sz w:val="28"/>
          <w:szCs w:val="28"/>
        </w:rPr>
        <w:t xml:space="preserve"> та Держказначейства</w:t>
      </w:r>
      <w:r w:rsidR="00470819" w:rsidRPr="00517164">
        <w:rPr>
          <w:rFonts w:ascii="Times New Roman" w:hAnsi="Times New Roman" w:cs="Times New Roman"/>
          <w:sz w:val="28"/>
          <w:szCs w:val="28"/>
        </w:rPr>
        <w:t xml:space="preserve"> для </w:t>
      </w:r>
      <w:r w:rsidR="00E40246" w:rsidRPr="00517164">
        <w:rPr>
          <w:rFonts w:ascii="Times New Roman" w:hAnsi="Times New Roman" w:cs="Times New Roman"/>
          <w:sz w:val="28"/>
          <w:szCs w:val="28"/>
        </w:rPr>
        <w:t>реалізації</w:t>
      </w:r>
      <w:r w:rsidR="00470819" w:rsidRPr="00517164">
        <w:rPr>
          <w:rFonts w:ascii="Times New Roman" w:hAnsi="Times New Roman" w:cs="Times New Roman"/>
          <w:sz w:val="28"/>
          <w:szCs w:val="28"/>
        </w:rPr>
        <w:t xml:space="preserve"> цього проекту наказу</w:t>
      </w:r>
      <w:r w:rsidR="00760DEA" w:rsidRPr="00517164">
        <w:rPr>
          <w:rFonts w:ascii="Times New Roman" w:hAnsi="Times New Roman" w:cs="Times New Roman"/>
          <w:sz w:val="28"/>
          <w:szCs w:val="28"/>
        </w:rPr>
        <w:t>.</w:t>
      </w:r>
    </w:p>
    <w:p w:rsidR="008E362F" w:rsidRPr="00517164" w:rsidRDefault="008E362F"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Ризику впливу зовнішніх факторів на дію регуляторного акта немає.</w:t>
      </w:r>
    </w:p>
    <w:p w:rsidR="008E362F" w:rsidRPr="00517164" w:rsidRDefault="008E362F"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Досягнення цілей не передбачає додаткових організаційних заходів.</w:t>
      </w:r>
    </w:p>
    <w:p w:rsidR="008E362F" w:rsidRPr="00517164" w:rsidRDefault="008E362F"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Можлива шкода у разі очікуваних наслідків дії акта не прогнозується.</w:t>
      </w:r>
    </w:p>
    <w:p w:rsidR="006D48DC" w:rsidRPr="00517164" w:rsidRDefault="006D48DC" w:rsidP="00384541">
      <w:pPr>
        <w:spacing w:after="0" w:line="240" w:lineRule="auto"/>
        <w:ind w:firstLine="567"/>
        <w:jc w:val="both"/>
        <w:rPr>
          <w:rFonts w:ascii="Times New Roman" w:hAnsi="Times New Roman" w:cs="Times New Roman"/>
          <w:sz w:val="28"/>
          <w:szCs w:val="28"/>
        </w:rPr>
      </w:pPr>
    </w:p>
    <w:p w:rsidR="00322D6C" w:rsidRPr="00517164" w:rsidRDefault="00322D6C" w:rsidP="00384541">
      <w:pPr>
        <w:spacing w:after="0" w:line="240" w:lineRule="auto"/>
        <w:ind w:firstLine="567"/>
        <w:jc w:val="both"/>
        <w:rPr>
          <w:rFonts w:ascii="Times New Roman" w:hAnsi="Times New Roman" w:cs="Times New Roman"/>
          <w:b/>
          <w:sz w:val="28"/>
          <w:szCs w:val="28"/>
        </w:rPr>
      </w:pPr>
      <w:r w:rsidRPr="00517164">
        <w:rPr>
          <w:rFonts w:ascii="Times New Roman" w:hAnsi="Times New Roman" w:cs="Times New Roman"/>
          <w:b/>
          <w:sz w:val="28"/>
          <w:szCs w:val="28"/>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w:t>
      </w:r>
    </w:p>
    <w:p w:rsidR="00322D6C" w:rsidRPr="00517164" w:rsidRDefault="00322D6C" w:rsidP="00384541">
      <w:pPr>
        <w:spacing w:after="0" w:line="240" w:lineRule="auto"/>
        <w:ind w:firstLine="567"/>
        <w:jc w:val="both"/>
        <w:rPr>
          <w:rFonts w:ascii="Times New Roman" w:hAnsi="Times New Roman" w:cs="Times New Roman"/>
          <w:sz w:val="28"/>
          <w:szCs w:val="28"/>
        </w:rPr>
      </w:pPr>
    </w:p>
    <w:p w:rsidR="0027223E" w:rsidRPr="00517164" w:rsidRDefault="0027223E"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Реалізація проекту наказу не передбачає додаткових фінансових витрат центральних органів виконавчої влади, суб’єктів господарювання та громадян.</w:t>
      </w:r>
    </w:p>
    <w:p w:rsidR="00CF79A6" w:rsidRPr="00517164" w:rsidRDefault="00CF79A6" w:rsidP="00384541">
      <w:pPr>
        <w:widowControl w:val="0"/>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 xml:space="preserve">Виконання вимог </w:t>
      </w:r>
      <w:r w:rsidR="0024695C" w:rsidRPr="00517164">
        <w:rPr>
          <w:rFonts w:ascii="Times New Roman" w:hAnsi="Times New Roman" w:cs="Times New Roman"/>
          <w:sz w:val="28"/>
          <w:szCs w:val="28"/>
        </w:rPr>
        <w:t>акта</w:t>
      </w:r>
      <w:r w:rsidRPr="00517164">
        <w:rPr>
          <w:rFonts w:ascii="Times New Roman" w:hAnsi="Times New Roman" w:cs="Times New Roman"/>
          <w:sz w:val="28"/>
          <w:szCs w:val="28"/>
        </w:rPr>
        <w:t xml:space="preserve"> забезпечується в межах кошторисних витрат на утримання контролюючих органів.</w:t>
      </w:r>
    </w:p>
    <w:p w:rsidR="00B83DAC" w:rsidRPr="00517164" w:rsidRDefault="00B83DAC" w:rsidP="00384541">
      <w:pPr>
        <w:spacing w:after="0" w:line="240" w:lineRule="auto"/>
        <w:ind w:firstLine="567"/>
        <w:jc w:val="both"/>
        <w:rPr>
          <w:rFonts w:ascii="Times New Roman" w:hAnsi="Times New Roman" w:cs="Times New Roman"/>
          <w:sz w:val="28"/>
          <w:szCs w:val="28"/>
        </w:rPr>
      </w:pPr>
      <w:r w:rsidRPr="00517164">
        <w:rPr>
          <w:rFonts w:ascii="Times New Roman" w:hAnsi="Times New Roman" w:cs="Times New Roman"/>
          <w:sz w:val="28"/>
          <w:szCs w:val="28"/>
        </w:rPr>
        <w:t>М-Тест не проводився у зв’язку з тим, що дія проекту наказу однаково впливає на всіх суб’єктів господарювання незалежно від форми власності та рівня доходу.</w:t>
      </w:r>
    </w:p>
    <w:p w:rsidR="00322D6C" w:rsidRPr="00517164" w:rsidRDefault="00322D6C" w:rsidP="00384541">
      <w:pPr>
        <w:spacing w:after="0" w:line="240" w:lineRule="auto"/>
        <w:ind w:firstLine="567"/>
        <w:jc w:val="both"/>
        <w:rPr>
          <w:rFonts w:ascii="Times New Roman" w:hAnsi="Times New Roman" w:cs="Times New Roman"/>
          <w:b/>
          <w:sz w:val="28"/>
          <w:szCs w:val="28"/>
        </w:rPr>
      </w:pPr>
    </w:p>
    <w:p w:rsidR="002873F5" w:rsidRPr="00517164" w:rsidRDefault="002873F5" w:rsidP="00384541">
      <w:pPr>
        <w:spacing w:after="0" w:line="240" w:lineRule="auto"/>
        <w:ind w:firstLine="567"/>
        <w:jc w:val="both"/>
        <w:rPr>
          <w:rFonts w:ascii="Times New Roman" w:hAnsi="Times New Roman" w:cs="Times New Roman"/>
          <w:b/>
          <w:sz w:val="28"/>
          <w:szCs w:val="28"/>
        </w:rPr>
      </w:pPr>
      <w:r w:rsidRPr="00517164">
        <w:rPr>
          <w:rFonts w:ascii="Times New Roman" w:hAnsi="Times New Roman" w:cs="Times New Roman"/>
          <w:b/>
          <w:sz w:val="28"/>
          <w:szCs w:val="28"/>
        </w:rPr>
        <w:t>VII. Обґрунтування запропонованого строку дії регуляторного акта</w:t>
      </w:r>
    </w:p>
    <w:p w:rsidR="002873F5" w:rsidRPr="00517164" w:rsidRDefault="002873F5" w:rsidP="00384541">
      <w:pPr>
        <w:spacing w:after="0" w:line="240" w:lineRule="auto"/>
        <w:ind w:firstLine="567"/>
        <w:jc w:val="both"/>
        <w:rPr>
          <w:rFonts w:ascii="Times New Roman" w:eastAsia="Times New Roman" w:hAnsi="Times New Roman" w:cs="Times New Roman"/>
          <w:sz w:val="28"/>
          <w:szCs w:val="28"/>
          <w:lang w:eastAsia="ru-RU"/>
        </w:rPr>
      </w:pPr>
    </w:p>
    <w:p w:rsidR="006350E4" w:rsidRPr="00517164" w:rsidRDefault="006350E4" w:rsidP="00384541">
      <w:pPr>
        <w:pStyle w:val="a5"/>
        <w:widowControl w:val="0"/>
        <w:spacing w:before="0" w:beforeAutospacing="0" w:after="0" w:afterAutospacing="0"/>
        <w:ind w:firstLine="567"/>
        <w:jc w:val="both"/>
        <w:rPr>
          <w:color w:val="000000" w:themeColor="text1"/>
          <w:sz w:val="28"/>
          <w:szCs w:val="28"/>
        </w:rPr>
      </w:pPr>
      <w:r w:rsidRPr="00517164">
        <w:rPr>
          <w:color w:val="000000" w:themeColor="text1"/>
          <w:sz w:val="28"/>
          <w:szCs w:val="28"/>
        </w:rPr>
        <w:t>Термін дії є необмеженим, оскільки Кодекс, на виконання вимог якого розроблено проект наказу, має необмежений термін дії.</w:t>
      </w:r>
    </w:p>
    <w:p w:rsidR="002873F5" w:rsidRPr="00517164" w:rsidRDefault="002873F5" w:rsidP="003845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17164">
        <w:rPr>
          <w:rFonts w:ascii="Times New Roman" w:eastAsia="Times New Roman" w:hAnsi="Times New Roman" w:cs="Times New Roman"/>
          <w:color w:val="000000" w:themeColor="text1"/>
          <w:sz w:val="28"/>
          <w:szCs w:val="28"/>
          <w:lang w:eastAsia="ru-RU"/>
        </w:rPr>
        <w:t xml:space="preserve">Зважаючи на те, що регуляторний акт є актом, розробленим відповідно до норм </w:t>
      </w:r>
      <w:r w:rsidR="0066310C" w:rsidRPr="00517164">
        <w:rPr>
          <w:rFonts w:ascii="Times New Roman" w:eastAsia="Times New Roman" w:hAnsi="Times New Roman" w:cs="Times New Roman"/>
          <w:color w:val="000000" w:themeColor="text1"/>
          <w:sz w:val="28"/>
          <w:szCs w:val="28"/>
          <w:lang w:eastAsia="ru-RU"/>
        </w:rPr>
        <w:t>Митного кодексу України</w:t>
      </w:r>
      <w:r w:rsidRPr="00517164">
        <w:rPr>
          <w:rFonts w:ascii="Times New Roman" w:eastAsia="Times New Roman" w:hAnsi="Times New Roman" w:cs="Times New Roman"/>
          <w:color w:val="000000" w:themeColor="text1"/>
          <w:sz w:val="28"/>
          <w:szCs w:val="28"/>
          <w:lang w:eastAsia="ru-RU"/>
        </w:rPr>
        <w:t xml:space="preserve">, у разі внесення змін до </w:t>
      </w:r>
      <w:r w:rsidR="00931298" w:rsidRPr="00517164">
        <w:rPr>
          <w:rFonts w:ascii="Times New Roman" w:eastAsia="Times New Roman" w:hAnsi="Times New Roman" w:cs="Times New Roman"/>
          <w:color w:val="000000" w:themeColor="text1"/>
          <w:sz w:val="28"/>
          <w:szCs w:val="28"/>
          <w:lang w:eastAsia="ru-RU"/>
        </w:rPr>
        <w:t xml:space="preserve">Кодексу </w:t>
      </w:r>
      <w:r w:rsidRPr="00517164">
        <w:rPr>
          <w:rFonts w:ascii="Times New Roman" w:eastAsia="Times New Roman" w:hAnsi="Times New Roman" w:cs="Times New Roman"/>
          <w:color w:val="000000" w:themeColor="text1"/>
          <w:sz w:val="28"/>
          <w:szCs w:val="28"/>
          <w:lang w:eastAsia="ru-RU"/>
        </w:rPr>
        <w:t xml:space="preserve">регуляторний акт має бути приведений у відповідність </w:t>
      </w:r>
      <w:r w:rsidR="00EC5096" w:rsidRPr="00517164">
        <w:rPr>
          <w:rFonts w:ascii="Times New Roman" w:eastAsia="Times New Roman" w:hAnsi="Times New Roman" w:cs="Times New Roman"/>
          <w:color w:val="000000" w:themeColor="text1"/>
          <w:sz w:val="28"/>
          <w:szCs w:val="28"/>
          <w:lang w:eastAsia="ru-RU"/>
        </w:rPr>
        <w:t>до таких змін</w:t>
      </w:r>
      <w:r w:rsidRPr="00517164">
        <w:rPr>
          <w:rFonts w:ascii="Times New Roman" w:eastAsia="Times New Roman" w:hAnsi="Times New Roman" w:cs="Times New Roman"/>
          <w:color w:val="000000" w:themeColor="text1"/>
          <w:sz w:val="28"/>
          <w:szCs w:val="28"/>
          <w:lang w:eastAsia="ru-RU"/>
        </w:rPr>
        <w:t>.</w:t>
      </w:r>
    </w:p>
    <w:p w:rsidR="006350E4" w:rsidRPr="00517164" w:rsidRDefault="006350E4" w:rsidP="00384541">
      <w:pPr>
        <w:pStyle w:val="a5"/>
        <w:widowControl w:val="0"/>
        <w:spacing w:before="0" w:beforeAutospacing="0" w:after="0" w:afterAutospacing="0"/>
        <w:ind w:firstLine="567"/>
        <w:jc w:val="both"/>
        <w:rPr>
          <w:color w:val="000000" w:themeColor="text1"/>
          <w:sz w:val="28"/>
          <w:szCs w:val="28"/>
        </w:rPr>
      </w:pPr>
      <w:r w:rsidRPr="00517164">
        <w:rPr>
          <w:color w:val="000000" w:themeColor="text1"/>
          <w:sz w:val="28"/>
          <w:szCs w:val="28"/>
        </w:rPr>
        <w:t>Зміна терміну дії акт</w:t>
      </w:r>
      <w:r w:rsidR="007810E9" w:rsidRPr="00517164">
        <w:rPr>
          <w:color w:val="000000" w:themeColor="text1"/>
          <w:sz w:val="28"/>
          <w:szCs w:val="28"/>
        </w:rPr>
        <w:t>а</w:t>
      </w:r>
      <w:r w:rsidRPr="00517164">
        <w:rPr>
          <w:color w:val="000000" w:themeColor="text1"/>
          <w:sz w:val="28"/>
          <w:szCs w:val="28"/>
        </w:rPr>
        <w:t xml:space="preserve"> можлива в разі зміни правових актів, на виконання вимог яких </w:t>
      </w:r>
      <w:r w:rsidR="007810E9" w:rsidRPr="00517164">
        <w:rPr>
          <w:color w:val="000000" w:themeColor="text1"/>
          <w:sz w:val="28"/>
          <w:szCs w:val="28"/>
        </w:rPr>
        <w:t>розроблено</w:t>
      </w:r>
      <w:r w:rsidRPr="00517164">
        <w:rPr>
          <w:color w:val="000000" w:themeColor="text1"/>
          <w:sz w:val="28"/>
          <w:szCs w:val="28"/>
        </w:rPr>
        <w:t xml:space="preserve"> проект.</w:t>
      </w:r>
    </w:p>
    <w:p w:rsidR="006350E4" w:rsidRPr="00517164" w:rsidRDefault="006350E4" w:rsidP="00384541">
      <w:pPr>
        <w:pStyle w:val="a5"/>
        <w:widowControl w:val="0"/>
        <w:spacing w:before="0" w:beforeAutospacing="0" w:after="0" w:afterAutospacing="0"/>
        <w:ind w:firstLine="567"/>
        <w:jc w:val="both"/>
        <w:rPr>
          <w:color w:val="000000" w:themeColor="text1"/>
          <w:sz w:val="28"/>
          <w:szCs w:val="28"/>
        </w:rPr>
      </w:pPr>
      <w:r w:rsidRPr="00517164">
        <w:rPr>
          <w:color w:val="000000" w:themeColor="text1"/>
          <w:sz w:val="28"/>
          <w:szCs w:val="28"/>
        </w:rPr>
        <w:t>Термін набрання чинності регуляторним актом</w:t>
      </w:r>
      <w:r w:rsidR="00946781" w:rsidRPr="00517164">
        <w:rPr>
          <w:color w:val="000000" w:themeColor="text1"/>
          <w:sz w:val="28"/>
          <w:szCs w:val="28"/>
        </w:rPr>
        <w:t> </w:t>
      </w:r>
      <w:r w:rsidRPr="00517164">
        <w:rPr>
          <w:color w:val="000000" w:themeColor="text1"/>
          <w:sz w:val="28"/>
          <w:szCs w:val="28"/>
        </w:rPr>
        <w:t>–</w:t>
      </w:r>
      <w:r w:rsidR="00946781" w:rsidRPr="00517164">
        <w:rPr>
          <w:color w:val="000000" w:themeColor="text1"/>
          <w:sz w:val="28"/>
          <w:szCs w:val="28"/>
        </w:rPr>
        <w:t> </w:t>
      </w:r>
      <w:r w:rsidRPr="00517164">
        <w:rPr>
          <w:color w:val="000000" w:themeColor="text1"/>
          <w:sz w:val="28"/>
          <w:szCs w:val="28"/>
        </w:rPr>
        <w:t>відповідно до законодавства</w:t>
      </w:r>
      <w:r w:rsidR="00E40246" w:rsidRPr="00517164">
        <w:rPr>
          <w:color w:val="000000" w:themeColor="text1"/>
          <w:sz w:val="28"/>
          <w:szCs w:val="28"/>
        </w:rPr>
        <w:t> – </w:t>
      </w:r>
      <w:r w:rsidRPr="00517164">
        <w:rPr>
          <w:color w:val="000000" w:themeColor="text1"/>
          <w:sz w:val="28"/>
          <w:szCs w:val="28"/>
        </w:rPr>
        <w:t>з дня його офіційного опублікування.</w:t>
      </w:r>
    </w:p>
    <w:p w:rsidR="006350E4" w:rsidRPr="00C73D29" w:rsidRDefault="006350E4" w:rsidP="00384541">
      <w:pPr>
        <w:pStyle w:val="a5"/>
        <w:widowControl w:val="0"/>
        <w:spacing w:before="0" w:beforeAutospacing="0" w:after="0" w:afterAutospacing="0"/>
        <w:ind w:firstLine="567"/>
        <w:jc w:val="both"/>
        <w:rPr>
          <w:sz w:val="28"/>
          <w:szCs w:val="28"/>
          <w:lang w:val="ru-RU"/>
        </w:rPr>
      </w:pPr>
    </w:p>
    <w:p w:rsidR="00CA2545" w:rsidRPr="00CA2545" w:rsidRDefault="00CA2545" w:rsidP="00CA2545">
      <w:pPr>
        <w:spacing w:after="0" w:line="240" w:lineRule="auto"/>
        <w:ind w:firstLine="567"/>
        <w:jc w:val="both"/>
        <w:rPr>
          <w:rFonts w:ascii="Times New Roman" w:eastAsia="Times New Roman" w:hAnsi="Times New Roman" w:cs="Times New Roman"/>
          <w:b/>
          <w:sz w:val="28"/>
          <w:szCs w:val="28"/>
          <w:lang w:val="ru-RU" w:eastAsia="ru-RU"/>
        </w:rPr>
      </w:pPr>
      <w:r w:rsidRPr="00517164">
        <w:rPr>
          <w:rFonts w:ascii="Times New Roman" w:eastAsia="Times New Roman" w:hAnsi="Times New Roman" w:cs="Times New Roman"/>
          <w:b/>
          <w:sz w:val="28"/>
          <w:szCs w:val="28"/>
          <w:lang w:eastAsia="ru-RU"/>
        </w:rPr>
        <w:t xml:space="preserve">VIII. Визначення показників результативності дії регуляторного </w:t>
      </w:r>
      <w:proofErr w:type="spellStart"/>
      <w:r w:rsidRPr="00517164">
        <w:rPr>
          <w:rFonts w:ascii="Times New Roman" w:eastAsia="Times New Roman" w:hAnsi="Times New Roman" w:cs="Times New Roman"/>
          <w:b/>
          <w:sz w:val="28"/>
          <w:szCs w:val="28"/>
          <w:lang w:eastAsia="ru-RU"/>
        </w:rPr>
        <w:t>акта</w:t>
      </w:r>
      <w:proofErr w:type="spellEnd"/>
      <w:r w:rsidRPr="00517164">
        <w:rPr>
          <w:rFonts w:ascii="Times New Roman" w:eastAsia="Times New Roman" w:hAnsi="Times New Roman" w:cs="Times New Roman"/>
          <w:b/>
          <w:sz w:val="28"/>
          <w:szCs w:val="28"/>
          <w:lang w:val="ru-RU" w:eastAsia="ru-RU"/>
        </w:rPr>
        <w:t xml:space="preserve"> </w:t>
      </w:r>
    </w:p>
    <w:p w:rsidR="00CA2545" w:rsidRPr="00CA2545" w:rsidRDefault="00CA2545" w:rsidP="00CA2545">
      <w:pPr>
        <w:spacing w:after="0" w:line="240" w:lineRule="auto"/>
        <w:ind w:firstLine="567"/>
        <w:jc w:val="both"/>
        <w:rPr>
          <w:rFonts w:ascii="Times New Roman" w:eastAsia="Times New Roman" w:hAnsi="Times New Roman" w:cs="Times New Roman"/>
          <w:b/>
          <w:sz w:val="28"/>
          <w:szCs w:val="28"/>
          <w:lang w:val="ru-RU" w:eastAsia="ru-RU"/>
        </w:rPr>
      </w:pPr>
    </w:p>
    <w:p w:rsidR="00CA2545" w:rsidRPr="00CA2545" w:rsidRDefault="00CA2545" w:rsidP="00CA2545">
      <w:pPr>
        <w:pStyle w:val="a5"/>
        <w:widowControl w:val="0"/>
        <w:spacing w:before="0" w:beforeAutospacing="0" w:after="0" w:afterAutospacing="0"/>
        <w:ind w:firstLine="567"/>
        <w:jc w:val="both"/>
        <w:rPr>
          <w:sz w:val="28"/>
          <w:szCs w:val="28"/>
          <w:lang w:val="ru-RU"/>
        </w:rPr>
      </w:pPr>
      <w:r w:rsidRPr="00517164">
        <w:rPr>
          <w:sz w:val="28"/>
          <w:szCs w:val="28"/>
        </w:rPr>
        <w:t xml:space="preserve">Показником результативності регуляторного </w:t>
      </w:r>
      <w:proofErr w:type="spellStart"/>
      <w:r w:rsidRPr="00517164">
        <w:rPr>
          <w:sz w:val="28"/>
          <w:szCs w:val="28"/>
        </w:rPr>
        <w:t>акта</w:t>
      </w:r>
      <w:proofErr w:type="spellEnd"/>
      <w:r w:rsidRPr="00517164">
        <w:rPr>
          <w:sz w:val="28"/>
          <w:szCs w:val="28"/>
        </w:rPr>
        <w:t xml:space="preserve"> є затвердження нового</w:t>
      </w:r>
    </w:p>
    <w:p w:rsidR="000B76C1" w:rsidRPr="001323E3" w:rsidRDefault="000B76C1" w:rsidP="00CA2545">
      <w:pPr>
        <w:spacing w:after="0" w:line="240" w:lineRule="auto"/>
        <w:jc w:val="both"/>
        <w:rPr>
          <w:rFonts w:ascii="Times New Roman" w:eastAsia="Times New Roman" w:hAnsi="Times New Roman" w:cs="Times New Roman"/>
          <w:b/>
          <w:sz w:val="28"/>
          <w:szCs w:val="28"/>
          <w:lang w:val="ru-RU" w:eastAsia="ru-RU"/>
        </w:rPr>
      </w:pPr>
      <w:r w:rsidRPr="00517164">
        <w:rPr>
          <w:rFonts w:ascii="Times New Roman" w:eastAsia="Times New Roman" w:hAnsi="Times New Roman" w:cs="Times New Roman"/>
          <w:sz w:val="28"/>
          <w:szCs w:val="28"/>
          <w:lang w:eastAsia="ru-RU"/>
        </w:rPr>
        <w:lastRenderedPageBreak/>
        <w:t xml:space="preserve">Порядку </w:t>
      </w:r>
      <w:r w:rsidR="00A51B53" w:rsidRPr="00517164">
        <w:rPr>
          <w:rFonts w:ascii="Times New Roman" w:hAnsi="Times New Roman" w:cs="Times New Roman"/>
          <w:bCs/>
          <w:sz w:val="28"/>
          <w:szCs w:val="28"/>
        </w:rPr>
        <w:t xml:space="preserve">повернення авансових платежів (передоплати) з «єдиного рахунку», який </w:t>
      </w:r>
      <w:r w:rsidRPr="00517164">
        <w:rPr>
          <w:rFonts w:ascii="Times New Roman" w:eastAsia="Times New Roman" w:hAnsi="Times New Roman" w:cs="Times New Roman"/>
          <w:sz w:val="28"/>
          <w:szCs w:val="28"/>
          <w:lang w:eastAsia="ru-RU"/>
        </w:rPr>
        <w:t>приведен</w:t>
      </w:r>
      <w:r w:rsidR="00A51B53" w:rsidRPr="00517164">
        <w:rPr>
          <w:rFonts w:ascii="Times New Roman" w:eastAsia="Times New Roman" w:hAnsi="Times New Roman" w:cs="Times New Roman"/>
          <w:sz w:val="28"/>
          <w:szCs w:val="28"/>
          <w:lang w:eastAsia="ru-RU"/>
        </w:rPr>
        <w:t>о</w:t>
      </w:r>
      <w:r w:rsidRPr="00517164">
        <w:rPr>
          <w:rFonts w:ascii="Times New Roman" w:eastAsia="Times New Roman" w:hAnsi="Times New Roman" w:cs="Times New Roman"/>
          <w:sz w:val="28"/>
          <w:szCs w:val="28"/>
          <w:lang w:eastAsia="ru-RU"/>
        </w:rPr>
        <w:t xml:space="preserve"> у відповідність до чинного законодавства.</w:t>
      </w:r>
    </w:p>
    <w:p w:rsidR="000B76C1" w:rsidRPr="00517164" w:rsidRDefault="00A51B53" w:rsidP="00384541">
      <w:pPr>
        <w:spacing w:line="240" w:lineRule="auto"/>
        <w:ind w:firstLine="567"/>
        <w:contextualSpacing/>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Кількісним п</w:t>
      </w:r>
      <w:r w:rsidR="000B76C1" w:rsidRPr="00517164">
        <w:rPr>
          <w:rFonts w:ascii="Times New Roman" w:eastAsia="Times New Roman" w:hAnsi="Times New Roman" w:cs="Times New Roman"/>
          <w:sz w:val="28"/>
          <w:szCs w:val="28"/>
          <w:lang w:eastAsia="ru-RU"/>
        </w:rPr>
        <w:t xml:space="preserve">оказником, який характеризує результативність дії регуляторного </w:t>
      </w:r>
      <w:proofErr w:type="spellStart"/>
      <w:r w:rsidR="000B76C1" w:rsidRPr="00517164">
        <w:rPr>
          <w:rFonts w:ascii="Times New Roman" w:eastAsia="Times New Roman" w:hAnsi="Times New Roman" w:cs="Times New Roman"/>
          <w:sz w:val="28"/>
          <w:szCs w:val="28"/>
          <w:lang w:eastAsia="ru-RU"/>
        </w:rPr>
        <w:t>акта</w:t>
      </w:r>
      <w:proofErr w:type="spellEnd"/>
      <w:r w:rsidR="000B76C1" w:rsidRPr="00517164">
        <w:rPr>
          <w:rFonts w:ascii="Times New Roman" w:eastAsia="Times New Roman" w:hAnsi="Times New Roman" w:cs="Times New Roman"/>
          <w:sz w:val="28"/>
          <w:szCs w:val="28"/>
          <w:lang w:eastAsia="ru-RU"/>
        </w:rPr>
        <w:t xml:space="preserve">, є кількість поданих </w:t>
      </w:r>
      <w:r w:rsidRPr="00517164">
        <w:rPr>
          <w:rFonts w:ascii="Times New Roman" w:eastAsia="Times New Roman" w:hAnsi="Times New Roman" w:cs="Times New Roman"/>
          <w:sz w:val="28"/>
          <w:szCs w:val="28"/>
          <w:lang w:eastAsia="ru-RU"/>
        </w:rPr>
        <w:t>заяв</w:t>
      </w:r>
      <w:r w:rsidR="007968C4" w:rsidRPr="00517164">
        <w:rPr>
          <w:rFonts w:ascii="Times New Roman" w:eastAsia="Times New Roman" w:hAnsi="Times New Roman" w:cs="Times New Roman"/>
          <w:sz w:val="28"/>
          <w:szCs w:val="28"/>
          <w:lang w:eastAsia="ru-RU"/>
        </w:rPr>
        <w:t xml:space="preserve"> суб’єктами господарювання на повернення авансових </w:t>
      </w:r>
      <w:r w:rsidR="007968C4" w:rsidRPr="00517164">
        <w:rPr>
          <w:rFonts w:ascii="Times New Roman" w:hAnsi="Times New Roman" w:cs="Times New Roman"/>
          <w:bCs/>
          <w:sz w:val="28"/>
          <w:szCs w:val="28"/>
        </w:rPr>
        <w:t>платежів (передоплати) і помилково та/або надміру сплачених сум митних платежів</w:t>
      </w:r>
      <w:r w:rsidR="007968C4" w:rsidRPr="00517164">
        <w:rPr>
          <w:rFonts w:ascii="Times New Roman" w:eastAsia="Times New Roman" w:hAnsi="Times New Roman" w:cs="Times New Roman"/>
          <w:sz w:val="28"/>
          <w:szCs w:val="28"/>
          <w:lang w:eastAsia="ru-RU"/>
        </w:rPr>
        <w:t>.</w:t>
      </w:r>
      <w:r w:rsidRPr="00517164">
        <w:rPr>
          <w:rFonts w:ascii="Times New Roman" w:eastAsia="Times New Roman" w:hAnsi="Times New Roman" w:cs="Times New Roman"/>
          <w:sz w:val="28"/>
          <w:szCs w:val="28"/>
          <w:lang w:eastAsia="ru-RU"/>
        </w:rPr>
        <w:t xml:space="preserve"> </w:t>
      </w:r>
    </w:p>
    <w:p w:rsidR="00522D2E" w:rsidRPr="00517164" w:rsidRDefault="00890225" w:rsidP="00384541">
      <w:pPr>
        <w:widowControl w:val="0"/>
        <w:spacing w:line="240" w:lineRule="auto"/>
        <w:ind w:firstLine="567"/>
        <w:contextualSpacing/>
        <w:jc w:val="both"/>
        <w:rPr>
          <w:rFonts w:ascii="Times New Roman" w:hAnsi="Times New Roman" w:cs="Times New Roman"/>
          <w:sz w:val="28"/>
          <w:szCs w:val="28"/>
        </w:rPr>
      </w:pPr>
      <w:r w:rsidRPr="00517164">
        <w:rPr>
          <w:rFonts w:ascii="Times New Roman" w:hAnsi="Times New Roman" w:cs="Times New Roman"/>
          <w:sz w:val="28"/>
          <w:szCs w:val="28"/>
        </w:rPr>
        <w:t xml:space="preserve">Також ще одним </w:t>
      </w:r>
      <w:r w:rsidR="00A51B53" w:rsidRPr="00517164">
        <w:rPr>
          <w:rFonts w:ascii="Times New Roman" w:hAnsi="Times New Roman" w:cs="Times New Roman"/>
          <w:sz w:val="28"/>
          <w:szCs w:val="28"/>
        </w:rPr>
        <w:t xml:space="preserve">кількісним показником </w:t>
      </w:r>
      <w:r w:rsidRPr="00517164">
        <w:rPr>
          <w:rFonts w:ascii="Times New Roman" w:hAnsi="Times New Roman" w:cs="Times New Roman"/>
          <w:sz w:val="28"/>
          <w:szCs w:val="28"/>
        </w:rPr>
        <w:t>передбачаємо</w:t>
      </w:r>
      <w:r w:rsidR="00A51B53" w:rsidRPr="00517164">
        <w:rPr>
          <w:rFonts w:ascii="Times New Roman" w:hAnsi="Times New Roman" w:cs="Times New Roman"/>
          <w:sz w:val="28"/>
          <w:szCs w:val="28"/>
        </w:rPr>
        <w:t xml:space="preserve"> зменшення скарг від платників податків до органу доходів і зборів, стосовно розгляду заяв щодо повернення грошових коштів та встановлення чіткого алгоритму, щодо можливості повернення суми помилково та/або надміру сплачених митних</w:t>
      </w:r>
      <w:r w:rsidR="00A51B53" w:rsidRPr="00517164">
        <w:rPr>
          <w:rFonts w:ascii="Times New Roman" w:hAnsi="Times New Roman" w:cs="Times New Roman"/>
          <w:bCs/>
          <w:sz w:val="28"/>
          <w:szCs w:val="28"/>
        </w:rPr>
        <w:t>, інших платежів.</w:t>
      </w:r>
      <w:r w:rsidR="00A51B53" w:rsidRPr="00517164">
        <w:rPr>
          <w:rFonts w:ascii="Times New Roman" w:hAnsi="Times New Roman" w:cs="Times New Roman"/>
          <w:sz w:val="28"/>
          <w:szCs w:val="28"/>
        </w:rPr>
        <w:t xml:space="preserve"> </w:t>
      </w:r>
    </w:p>
    <w:p w:rsidR="005E6A22" w:rsidRPr="00517164" w:rsidRDefault="00A51B53" w:rsidP="00384541">
      <w:pPr>
        <w:spacing w:after="0" w:line="240" w:lineRule="auto"/>
        <w:ind w:firstLine="567"/>
        <w:contextualSpacing/>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У</w:t>
      </w:r>
      <w:r w:rsidR="005E6A22" w:rsidRPr="00517164">
        <w:rPr>
          <w:rFonts w:ascii="Times New Roman" w:eastAsia="Times New Roman" w:hAnsi="Times New Roman" w:cs="Times New Roman"/>
          <w:sz w:val="28"/>
          <w:szCs w:val="28"/>
          <w:lang w:eastAsia="ru-RU"/>
        </w:rPr>
        <w:t xml:space="preserve"> зв’язку з прийняттям </w:t>
      </w:r>
      <w:proofErr w:type="spellStart"/>
      <w:r w:rsidR="005E6A22" w:rsidRPr="00517164">
        <w:rPr>
          <w:rFonts w:ascii="Times New Roman" w:eastAsia="Times New Roman" w:hAnsi="Times New Roman" w:cs="Times New Roman"/>
          <w:sz w:val="28"/>
          <w:szCs w:val="28"/>
          <w:lang w:eastAsia="ru-RU"/>
        </w:rPr>
        <w:t>акт</w:t>
      </w:r>
      <w:r w:rsidR="00E92565" w:rsidRPr="00517164">
        <w:rPr>
          <w:rFonts w:ascii="Times New Roman" w:eastAsia="Times New Roman" w:hAnsi="Times New Roman" w:cs="Times New Roman"/>
          <w:sz w:val="28"/>
          <w:szCs w:val="28"/>
          <w:lang w:eastAsia="ru-RU"/>
        </w:rPr>
        <w:t>а</w:t>
      </w:r>
      <w:proofErr w:type="spellEnd"/>
      <w:r w:rsidR="005E6A22" w:rsidRPr="00517164">
        <w:rPr>
          <w:rFonts w:ascii="Times New Roman" w:eastAsia="Times New Roman" w:hAnsi="Times New Roman" w:cs="Times New Roman"/>
          <w:sz w:val="28"/>
          <w:szCs w:val="28"/>
          <w:lang w:eastAsia="ru-RU"/>
        </w:rPr>
        <w:t xml:space="preserve"> держав</w:t>
      </w:r>
      <w:r w:rsidR="00890225" w:rsidRPr="00517164">
        <w:rPr>
          <w:rFonts w:ascii="Times New Roman" w:eastAsia="Times New Roman" w:hAnsi="Times New Roman" w:cs="Times New Roman"/>
          <w:sz w:val="28"/>
          <w:szCs w:val="28"/>
          <w:lang w:eastAsia="ru-RU"/>
        </w:rPr>
        <w:t>и</w:t>
      </w:r>
      <w:r w:rsidR="005E6A22" w:rsidRPr="00517164">
        <w:rPr>
          <w:rFonts w:ascii="Times New Roman" w:eastAsia="Times New Roman" w:hAnsi="Times New Roman" w:cs="Times New Roman"/>
          <w:sz w:val="28"/>
          <w:szCs w:val="28"/>
          <w:lang w:eastAsia="ru-RU"/>
        </w:rPr>
        <w:t>, суб’єкти господарювання не витрачатимуть додаткові кошт</w:t>
      </w:r>
      <w:r w:rsidRPr="00517164">
        <w:rPr>
          <w:rFonts w:ascii="Times New Roman" w:eastAsia="Times New Roman" w:hAnsi="Times New Roman" w:cs="Times New Roman"/>
          <w:sz w:val="28"/>
          <w:szCs w:val="28"/>
          <w:lang w:eastAsia="ru-RU"/>
        </w:rPr>
        <w:t xml:space="preserve">и і час на реалізацію його норм, навпаки, </w:t>
      </w:r>
      <w:r w:rsidRPr="00517164">
        <w:rPr>
          <w:rFonts w:ascii="Times New Roman" w:hAnsi="Times New Roman" w:cs="Times New Roman"/>
          <w:sz w:val="28"/>
          <w:szCs w:val="28"/>
        </w:rPr>
        <w:t>запропонован</w:t>
      </w:r>
      <w:r w:rsidR="00E92565" w:rsidRPr="00517164">
        <w:rPr>
          <w:rFonts w:ascii="Times New Roman" w:hAnsi="Times New Roman" w:cs="Times New Roman"/>
          <w:sz w:val="28"/>
          <w:szCs w:val="28"/>
        </w:rPr>
        <w:t>і</w:t>
      </w:r>
      <w:r w:rsidRPr="00517164">
        <w:rPr>
          <w:rFonts w:ascii="Times New Roman" w:hAnsi="Times New Roman" w:cs="Times New Roman"/>
          <w:sz w:val="28"/>
          <w:szCs w:val="28"/>
        </w:rPr>
        <w:t xml:space="preserve"> </w:t>
      </w:r>
      <w:r w:rsidR="00E92565" w:rsidRPr="00517164">
        <w:rPr>
          <w:rFonts w:ascii="Times New Roman" w:hAnsi="Times New Roman" w:cs="Times New Roman"/>
          <w:sz w:val="28"/>
          <w:szCs w:val="28"/>
        </w:rPr>
        <w:t>норми</w:t>
      </w:r>
      <w:r w:rsidR="00890225" w:rsidRPr="00517164">
        <w:rPr>
          <w:rFonts w:ascii="Times New Roman" w:hAnsi="Times New Roman" w:cs="Times New Roman"/>
          <w:sz w:val="28"/>
          <w:szCs w:val="28"/>
        </w:rPr>
        <w:t xml:space="preserve"> </w:t>
      </w:r>
      <w:r w:rsidRPr="00517164">
        <w:rPr>
          <w:rFonts w:ascii="Times New Roman" w:hAnsi="Times New Roman" w:cs="Times New Roman"/>
          <w:sz w:val="28"/>
          <w:szCs w:val="28"/>
        </w:rPr>
        <w:t>проект</w:t>
      </w:r>
      <w:r w:rsidR="00890225" w:rsidRPr="00517164">
        <w:rPr>
          <w:rFonts w:ascii="Times New Roman" w:hAnsi="Times New Roman" w:cs="Times New Roman"/>
          <w:sz w:val="28"/>
          <w:szCs w:val="28"/>
        </w:rPr>
        <w:t>у</w:t>
      </w:r>
      <w:r w:rsidRPr="00517164">
        <w:rPr>
          <w:rFonts w:ascii="Times New Roman" w:hAnsi="Times New Roman" w:cs="Times New Roman"/>
          <w:sz w:val="28"/>
          <w:szCs w:val="28"/>
        </w:rPr>
        <w:t xml:space="preserve"> наказу </w:t>
      </w:r>
      <w:r w:rsidR="00E92565" w:rsidRPr="00517164">
        <w:rPr>
          <w:rFonts w:ascii="Times New Roman" w:hAnsi="Times New Roman" w:cs="Times New Roman"/>
          <w:sz w:val="28"/>
          <w:szCs w:val="28"/>
        </w:rPr>
        <w:t>сприятимуть скороченню</w:t>
      </w:r>
      <w:r w:rsidRPr="00517164">
        <w:rPr>
          <w:rFonts w:ascii="Times New Roman" w:hAnsi="Times New Roman" w:cs="Times New Roman"/>
          <w:sz w:val="28"/>
          <w:szCs w:val="28"/>
        </w:rPr>
        <w:t xml:space="preserve"> часу, пов’язаного з процедурою повернення коштів</w:t>
      </w:r>
      <w:r w:rsidR="00E92565" w:rsidRPr="00517164">
        <w:rPr>
          <w:rFonts w:ascii="Times New Roman" w:hAnsi="Times New Roman" w:cs="Times New Roman"/>
          <w:sz w:val="28"/>
          <w:szCs w:val="28"/>
        </w:rPr>
        <w:t xml:space="preserve"> суб’єктам господарювання.</w:t>
      </w:r>
    </w:p>
    <w:p w:rsidR="005E6A22" w:rsidRPr="00517164" w:rsidRDefault="00E92565" w:rsidP="00384541">
      <w:pPr>
        <w:spacing w:after="0" w:line="240" w:lineRule="auto"/>
        <w:ind w:firstLine="567"/>
        <w:contextualSpacing/>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Р</w:t>
      </w:r>
      <w:r w:rsidR="005E6A22" w:rsidRPr="00517164">
        <w:rPr>
          <w:rFonts w:ascii="Times New Roman" w:eastAsia="Times New Roman" w:hAnsi="Times New Roman" w:cs="Times New Roman"/>
          <w:sz w:val="28"/>
          <w:szCs w:val="28"/>
          <w:lang w:eastAsia="ru-RU"/>
        </w:rPr>
        <w:t>івень поінформованості громадян та суб’єктів господарювання щодо основних положень</w:t>
      </w:r>
      <w:r w:rsidR="00FB13B1" w:rsidRPr="00517164">
        <w:rPr>
          <w:rFonts w:ascii="Times New Roman" w:eastAsia="Times New Roman" w:hAnsi="Times New Roman" w:cs="Times New Roman"/>
          <w:sz w:val="28"/>
          <w:szCs w:val="28"/>
          <w:lang w:eastAsia="ru-RU"/>
        </w:rPr>
        <w:t xml:space="preserve"> проекту</w:t>
      </w:r>
      <w:r w:rsidR="005E6A22" w:rsidRPr="00517164">
        <w:rPr>
          <w:rFonts w:ascii="Times New Roman" w:eastAsia="Times New Roman" w:hAnsi="Times New Roman" w:cs="Times New Roman"/>
          <w:sz w:val="28"/>
          <w:szCs w:val="28"/>
          <w:lang w:eastAsia="ru-RU"/>
        </w:rPr>
        <w:t xml:space="preserve"> наказу </w:t>
      </w:r>
      <w:r w:rsidRPr="00517164">
        <w:rPr>
          <w:rFonts w:ascii="Times New Roman" w:eastAsia="Times New Roman" w:hAnsi="Times New Roman" w:cs="Times New Roman"/>
          <w:sz w:val="28"/>
          <w:szCs w:val="28"/>
          <w:lang w:eastAsia="ru-RU"/>
        </w:rPr>
        <w:t>середній</w:t>
      </w:r>
      <w:r w:rsidR="005E6A22" w:rsidRPr="00517164">
        <w:rPr>
          <w:rFonts w:ascii="Times New Roman" w:eastAsia="Times New Roman" w:hAnsi="Times New Roman" w:cs="Times New Roman"/>
          <w:sz w:val="28"/>
          <w:szCs w:val="28"/>
          <w:lang w:eastAsia="ru-RU"/>
        </w:rPr>
        <w:t xml:space="preserve">, оскільки </w:t>
      </w:r>
      <w:r w:rsidR="00FB13B1" w:rsidRPr="00517164">
        <w:rPr>
          <w:rFonts w:ascii="Times New Roman" w:eastAsia="Times New Roman" w:hAnsi="Times New Roman" w:cs="Times New Roman"/>
          <w:sz w:val="28"/>
          <w:szCs w:val="28"/>
          <w:lang w:eastAsia="ru-RU"/>
        </w:rPr>
        <w:t>його</w:t>
      </w:r>
      <w:r w:rsidR="005E6A22" w:rsidRPr="00517164">
        <w:rPr>
          <w:rFonts w:ascii="Times New Roman" w:eastAsia="Times New Roman" w:hAnsi="Times New Roman" w:cs="Times New Roman"/>
          <w:sz w:val="28"/>
          <w:szCs w:val="28"/>
          <w:lang w:eastAsia="ru-RU"/>
        </w:rPr>
        <w:t xml:space="preserve"> оприлюднено на офіційному </w:t>
      </w:r>
      <w:r w:rsidR="002C429C" w:rsidRPr="00517164">
        <w:rPr>
          <w:rFonts w:ascii="Times New Roman" w:eastAsia="Times New Roman" w:hAnsi="Times New Roman" w:cs="Times New Roman"/>
          <w:sz w:val="28"/>
          <w:szCs w:val="28"/>
          <w:lang w:eastAsia="ru-RU"/>
        </w:rPr>
        <w:t>веб-</w:t>
      </w:r>
      <w:r w:rsidR="00FB13B1" w:rsidRPr="00517164">
        <w:rPr>
          <w:rFonts w:ascii="Times New Roman" w:eastAsia="Times New Roman" w:hAnsi="Times New Roman" w:cs="Times New Roman"/>
          <w:sz w:val="28"/>
          <w:szCs w:val="28"/>
          <w:lang w:eastAsia="ru-RU"/>
        </w:rPr>
        <w:t>сайті</w:t>
      </w:r>
      <w:r w:rsidR="002C429C" w:rsidRPr="00517164">
        <w:rPr>
          <w:rFonts w:ascii="Times New Roman" w:eastAsia="Times New Roman" w:hAnsi="Times New Roman" w:cs="Times New Roman"/>
          <w:sz w:val="28"/>
          <w:szCs w:val="28"/>
          <w:lang w:eastAsia="ru-RU"/>
        </w:rPr>
        <w:t xml:space="preserve"> Мінфіну та офіційному </w:t>
      </w:r>
      <w:r w:rsidR="005E6A22" w:rsidRPr="00517164">
        <w:rPr>
          <w:rFonts w:ascii="Times New Roman" w:eastAsia="Times New Roman" w:hAnsi="Times New Roman" w:cs="Times New Roman"/>
          <w:sz w:val="28"/>
          <w:szCs w:val="28"/>
          <w:lang w:eastAsia="ru-RU"/>
        </w:rPr>
        <w:t>веб-</w:t>
      </w:r>
      <w:r w:rsidR="002C429C" w:rsidRPr="00517164">
        <w:rPr>
          <w:rFonts w:ascii="Times New Roman" w:eastAsia="Times New Roman" w:hAnsi="Times New Roman" w:cs="Times New Roman"/>
          <w:sz w:val="28"/>
          <w:szCs w:val="28"/>
          <w:lang w:eastAsia="ru-RU"/>
        </w:rPr>
        <w:t>порталі</w:t>
      </w:r>
      <w:r w:rsidR="005E6A22" w:rsidRPr="00517164">
        <w:rPr>
          <w:rFonts w:ascii="Times New Roman" w:eastAsia="Times New Roman" w:hAnsi="Times New Roman" w:cs="Times New Roman"/>
          <w:sz w:val="28"/>
          <w:szCs w:val="28"/>
          <w:lang w:eastAsia="ru-RU"/>
        </w:rPr>
        <w:t xml:space="preserve"> </w:t>
      </w:r>
      <w:r w:rsidR="00446D1A" w:rsidRPr="00517164">
        <w:rPr>
          <w:rFonts w:ascii="Times New Roman" w:eastAsia="Times New Roman" w:hAnsi="Times New Roman" w:cs="Times New Roman"/>
          <w:sz w:val="28"/>
          <w:szCs w:val="28"/>
          <w:lang w:eastAsia="ru-RU"/>
        </w:rPr>
        <w:t>ДФС</w:t>
      </w:r>
      <w:r w:rsidRPr="00517164">
        <w:rPr>
          <w:rFonts w:ascii="Times New Roman" w:eastAsia="Times New Roman" w:hAnsi="Times New Roman" w:cs="Times New Roman"/>
          <w:sz w:val="28"/>
          <w:szCs w:val="28"/>
          <w:lang w:eastAsia="ru-RU"/>
        </w:rPr>
        <w:t>.</w:t>
      </w:r>
    </w:p>
    <w:p w:rsidR="007968C4" w:rsidRPr="00517164" w:rsidRDefault="007968C4" w:rsidP="00384541">
      <w:pPr>
        <w:spacing w:after="0" w:line="240" w:lineRule="auto"/>
        <w:ind w:firstLine="567"/>
        <w:jc w:val="both"/>
        <w:rPr>
          <w:rFonts w:ascii="Times New Roman" w:eastAsia="Times New Roman" w:hAnsi="Times New Roman" w:cs="Times New Roman"/>
          <w:b/>
          <w:sz w:val="28"/>
          <w:szCs w:val="28"/>
          <w:lang w:eastAsia="ru-RU"/>
        </w:rPr>
      </w:pPr>
    </w:p>
    <w:p w:rsidR="00BF4B53" w:rsidRPr="00517164" w:rsidRDefault="00BF4B53" w:rsidP="00384541">
      <w:pPr>
        <w:spacing w:after="0" w:line="240" w:lineRule="auto"/>
        <w:ind w:firstLine="567"/>
        <w:jc w:val="both"/>
        <w:rPr>
          <w:rFonts w:ascii="Times New Roman" w:eastAsia="Times New Roman" w:hAnsi="Times New Roman" w:cs="Times New Roman"/>
          <w:b/>
          <w:sz w:val="28"/>
          <w:szCs w:val="28"/>
          <w:lang w:eastAsia="ru-RU"/>
        </w:rPr>
      </w:pPr>
      <w:r w:rsidRPr="00517164">
        <w:rPr>
          <w:rFonts w:ascii="Times New Roman" w:eastAsia="Times New Roman" w:hAnsi="Times New Roman" w:cs="Times New Roman"/>
          <w:b/>
          <w:sz w:val="28"/>
          <w:szCs w:val="28"/>
          <w:lang w:eastAsia="ru-RU"/>
        </w:rPr>
        <w:t>IX. Визначення заходів, за допомогою яких здійснюватиметься відстеження результативності дії регуляторного акта</w:t>
      </w:r>
    </w:p>
    <w:p w:rsidR="00BF4B53" w:rsidRPr="00517164" w:rsidRDefault="00BF4B53" w:rsidP="00384541">
      <w:pPr>
        <w:spacing w:after="0" w:line="240" w:lineRule="auto"/>
        <w:ind w:firstLine="567"/>
        <w:jc w:val="both"/>
        <w:rPr>
          <w:rFonts w:ascii="Times New Roman" w:eastAsia="Times New Roman" w:hAnsi="Times New Roman" w:cs="Times New Roman"/>
          <w:sz w:val="28"/>
          <w:szCs w:val="28"/>
          <w:lang w:eastAsia="ru-RU"/>
        </w:rPr>
      </w:pPr>
    </w:p>
    <w:p w:rsidR="00BF4B53" w:rsidRPr="00517164" w:rsidRDefault="00BF4B53"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Стосовно регуляторного акта уповноваженим органом виконавчої влади здійснюватимуться базове, пов</w:t>
      </w:r>
      <w:r w:rsidR="009438CB" w:rsidRPr="00517164">
        <w:rPr>
          <w:rFonts w:ascii="Times New Roman" w:eastAsia="Times New Roman" w:hAnsi="Times New Roman" w:cs="Times New Roman"/>
          <w:sz w:val="28"/>
          <w:szCs w:val="28"/>
          <w:lang w:eastAsia="ru-RU"/>
        </w:rPr>
        <w:t xml:space="preserve">торне та періодичні відстеження </w:t>
      </w:r>
      <w:r w:rsidRPr="00517164">
        <w:rPr>
          <w:rFonts w:ascii="Times New Roman" w:eastAsia="Times New Roman" w:hAnsi="Times New Roman" w:cs="Times New Roman"/>
          <w:sz w:val="28"/>
          <w:szCs w:val="28"/>
          <w:lang w:eastAsia="ru-RU"/>
        </w:rPr>
        <w:t>результативності регуляторного акта у строки, встановлені статтею 10 Закону України „Про засади державної регуляторної політики у сфері господарської діяльності”</w:t>
      </w:r>
      <w:r w:rsidR="001A37BF" w:rsidRPr="00517164">
        <w:rPr>
          <w:rFonts w:ascii="Times New Roman" w:eastAsia="Times New Roman" w:hAnsi="Times New Roman" w:cs="Times New Roman"/>
          <w:sz w:val="28"/>
          <w:szCs w:val="28"/>
          <w:lang w:eastAsia="ru-RU"/>
        </w:rPr>
        <w:t>,</w:t>
      </w:r>
      <w:r w:rsidRPr="00517164">
        <w:rPr>
          <w:rFonts w:ascii="Times New Roman" w:eastAsia="Times New Roman" w:hAnsi="Times New Roman" w:cs="Times New Roman"/>
          <w:sz w:val="28"/>
          <w:szCs w:val="28"/>
          <w:lang w:eastAsia="ru-RU"/>
        </w:rPr>
        <w:t xml:space="preserve"> шляхом аналізу статистичних даних за допомогою інформаційних систем ДФС</w:t>
      </w:r>
      <w:r w:rsidR="00931298" w:rsidRPr="00517164">
        <w:rPr>
          <w:rFonts w:ascii="Times New Roman" w:eastAsia="Times New Roman" w:hAnsi="Times New Roman" w:cs="Times New Roman"/>
          <w:sz w:val="28"/>
          <w:szCs w:val="28"/>
          <w:lang w:eastAsia="ru-RU"/>
        </w:rPr>
        <w:t xml:space="preserve"> та звітної інформації, яка надходить </w:t>
      </w:r>
      <w:r w:rsidR="0061585A" w:rsidRPr="00517164">
        <w:rPr>
          <w:rFonts w:ascii="Times New Roman" w:eastAsia="Times New Roman" w:hAnsi="Times New Roman" w:cs="Times New Roman"/>
          <w:sz w:val="28"/>
          <w:szCs w:val="28"/>
          <w:lang w:eastAsia="ru-RU"/>
        </w:rPr>
        <w:t>до ДФС від митних органів</w:t>
      </w:r>
      <w:r w:rsidRPr="00517164">
        <w:rPr>
          <w:rFonts w:ascii="Times New Roman" w:eastAsia="Times New Roman" w:hAnsi="Times New Roman" w:cs="Times New Roman"/>
          <w:sz w:val="28"/>
          <w:szCs w:val="28"/>
          <w:lang w:eastAsia="ru-RU"/>
        </w:rPr>
        <w:t>.</w:t>
      </w:r>
    </w:p>
    <w:p w:rsidR="00BF4B53" w:rsidRPr="00517164" w:rsidRDefault="00BF4B53"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Базове відстеження результативності регуляторного акта буде проводитись через рік після набрання чинності наказом.</w:t>
      </w:r>
    </w:p>
    <w:p w:rsidR="00BF4B53" w:rsidRPr="00517164" w:rsidRDefault="00BF4B53"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Періодичне відстеження здійснюватиметься раз на три роки, починаючи з дня виконання заходів з повторного відстеження результативності.</w:t>
      </w:r>
    </w:p>
    <w:p w:rsidR="003B7590" w:rsidRPr="00517164" w:rsidRDefault="003B7590"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Повторне відстеження буде здійснюватися через два роки після набрання чинності наказом.</w:t>
      </w:r>
    </w:p>
    <w:p w:rsidR="00BF4B53" w:rsidRPr="00517164" w:rsidRDefault="00BF4B53"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Метод проведення відстеження результативності</w:t>
      </w:r>
      <w:r w:rsidR="00AC13E9" w:rsidRPr="00517164">
        <w:rPr>
          <w:rFonts w:ascii="Times New Roman" w:eastAsia="Times New Roman" w:hAnsi="Times New Roman" w:cs="Times New Roman"/>
          <w:sz w:val="28"/>
          <w:szCs w:val="28"/>
          <w:lang w:eastAsia="ru-RU"/>
        </w:rPr>
        <w:t> – </w:t>
      </w:r>
      <w:r w:rsidRPr="00517164">
        <w:rPr>
          <w:rFonts w:ascii="Times New Roman" w:eastAsia="Times New Roman" w:hAnsi="Times New Roman" w:cs="Times New Roman"/>
          <w:sz w:val="28"/>
          <w:szCs w:val="28"/>
          <w:lang w:eastAsia="ru-RU"/>
        </w:rPr>
        <w:t>статистичний.</w:t>
      </w:r>
    </w:p>
    <w:p w:rsidR="00D02AED" w:rsidRPr="00517164" w:rsidRDefault="00D02AED"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У разі виявлення неврегульованих та/або проблемних питань на підставі аналізу зауважень та пропозицій державних органів та суб’єктів господарювання ці питання будуть врегульовані шляхом унесення відповідних змін.</w:t>
      </w:r>
    </w:p>
    <w:p w:rsidR="00BF4B53" w:rsidRPr="00517164" w:rsidRDefault="001A37BF" w:rsidP="00384541">
      <w:pPr>
        <w:spacing w:after="0" w:line="240" w:lineRule="auto"/>
        <w:ind w:firstLine="567"/>
        <w:jc w:val="both"/>
        <w:rPr>
          <w:rFonts w:ascii="Times New Roman" w:eastAsia="Times New Roman" w:hAnsi="Times New Roman" w:cs="Times New Roman"/>
          <w:sz w:val="28"/>
          <w:szCs w:val="28"/>
          <w:lang w:eastAsia="ru-RU"/>
        </w:rPr>
      </w:pPr>
      <w:r w:rsidRPr="00517164">
        <w:rPr>
          <w:rFonts w:ascii="Times New Roman" w:eastAsia="Times New Roman" w:hAnsi="Times New Roman" w:cs="Times New Roman"/>
          <w:sz w:val="28"/>
          <w:szCs w:val="28"/>
          <w:lang w:eastAsia="ru-RU"/>
        </w:rPr>
        <w:t>Виконавцями</w:t>
      </w:r>
      <w:r w:rsidR="00BF4B53" w:rsidRPr="00517164">
        <w:rPr>
          <w:rFonts w:ascii="Times New Roman" w:eastAsia="Times New Roman" w:hAnsi="Times New Roman" w:cs="Times New Roman"/>
          <w:sz w:val="28"/>
          <w:szCs w:val="28"/>
          <w:lang w:eastAsia="ru-RU"/>
        </w:rPr>
        <w:t xml:space="preserve"> заходів з відстеження є М</w:t>
      </w:r>
      <w:r w:rsidR="00204D2E" w:rsidRPr="00517164">
        <w:rPr>
          <w:rFonts w:ascii="Times New Roman" w:eastAsia="Times New Roman" w:hAnsi="Times New Roman" w:cs="Times New Roman"/>
          <w:sz w:val="28"/>
          <w:szCs w:val="28"/>
          <w:lang w:eastAsia="ru-RU"/>
        </w:rPr>
        <w:t>іністерство фінансів України, Державна фіскальна служба України</w:t>
      </w:r>
      <w:r w:rsidR="00BF4B53" w:rsidRPr="00517164">
        <w:rPr>
          <w:rFonts w:ascii="Times New Roman" w:eastAsia="Times New Roman" w:hAnsi="Times New Roman" w:cs="Times New Roman"/>
          <w:sz w:val="28"/>
          <w:szCs w:val="28"/>
          <w:lang w:eastAsia="ru-RU"/>
        </w:rPr>
        <w:t>.</w:t>
      </w:r>
    </w:p>
    <w:p w:rsidR="00BF4B53" w:rsidRPr="00517164" w:rsidRDefault="00BF4B53" w:rsidP="00384541">
      <w:pPr>
        <w:spacing w:after="0" w:line="240" w:lineRule="auto"/>
        <w:ind w:firstLine="567"/>
        <w:jc w:val="both"/>
        <w:rPr>
          <w:rFonts w:ascii="Times New Roman" w:eastAsia="Times New Roman" w:hAnsi="Times New Roman" w:cs="Times New Roman"/>
          <w:sz w:val="28"/>
          <w:szCs w:val="28"/>
          <w:lang w:eastAsia="ru-RU"/>
        </w:rPr>
      </w:pPr>
    </w:p>
    <w:p w:rsidR="001A37BF" w:rsidRPr="00517164" w:rsidRDefault="00C6380F" w:rsidP="00384541">
      <w:pPr>
        <w:spacing w:after="0" w:line="240" w:lineRule="auto"/>
        <w:jc w:val="both"/>
        <w:rPr>
          <w:rFonts w:ascii="Times New Roman" w:hAnsi="Times New Roman" w:cs="Times New Roman"/>
          <w:b/>
          <w:sz w:val="28"/>
          <w:szCs w:val="28"/>
        </w:rPr>
      </w:pPr>
      <w:r w:rsidRPr="00517164">
        <w:rPr>
          <w:rFonts w:ascii="Times New Roman" w:hAnsi="Times New Roman" w:cs="Times New Roman"/>
          <w:b/>
          <w:sz w:val="28"/>
          <w:szCs w:val="28"/>
        </w:rPr>
        <w:t>В.о</w:t>
      </w:r>
      <w:r w:rsidR="005D4336" w:rsidRPr="00517164">
        <w:rPr>
          <w:rFonts w:ascii="Times New Roman" w:hAnsi="Times New Roman" w:cs="Times New Roman"/>
          <w:b/>
          <w:sz w:val="28"/>
          <w:szCs w:val="28"/>
        </w:rPr>
        <w:t>. </w:t>
      </w:r>
      <w:r w:rsidR="00B70EF6" w:rsidRPr="00517164">
        <w:rPr>
          <w:rFonts w:ascii="Times New Roman" w:hAnsi="Times New Roman" w:cs="Times New Roman"/>
          <w:b/>
          <w:sz w:val="28"/>
          <w:szCs w:val="28"/>
        </w:rPr>
        <w:t>Голови</w:t>
      </w:r>
      <w:r w:rsidR="001A37BF" w:rsidRPr="00517164">
        <w:rPr>
          <w:rFonts w:ascii="Times New Roman" w:hAnsi="Times New Roman" w:cs="Times New Roman"/>
          <w:b/>
          <w:sz w:val="28"/>
          <w:szCs w:val="28"/>
        </w:rPr>
        <w:t xml:space="preserve"> Державної фіскальної</w:t>
      </w:r>
    </w:p>
    <w:p w:rsidR="00B517F8" w:rsidRPr="00517164" w:rsidRDefault="00527374" w:rsidP="00384541">
      <w:pPr>
        <w:spacing w:after="0" w:line="240" w:lineRule="auto"/>
        <w:jc w:val="both"/>
        <w:rPr>
          <w:rFonts w:ascii="Times New Roman" w:eastAsia="Times New Roman" w:hAnsi="Times New Roman" w:cs="Times New Roman"/>
          <w:b/>
          <w:sz w:val="28"/>
          <w:szCs w:val="28"/>
          <w:lang w:eastAsia="ru-RU"/>
        </w:rPr>
      </w:pPr>
      <w:r w:rsidRPr="00517164">
        <w:rPr>
          <w:rFonts w:ascii="Times New Roman" w:hAnsi="Times New Roman" w:cs="Times New Roman"/>
          <w:b/>
          <w:sz w:val="28"/>
          <w:szCs w:val="28"/>
        </w:rPr>
        <w:t>с</w:t>
      </w:r>
      <w:r w:rsidR="001A37BF" w:rsidRPr="00517164">
        <w:rPr>
          <w:rFonts w:ascii="Times New Roman" w:hAnsi="Times New Roman" w:cs="Times New Roman"/>
          <w:b/>
          <w:sz w:val="28"/>
          <w:szCs w:val="28"/>
        </w:rPr>
        <w:t>лужби України</w:t>
      </w:r>
      <w:r w:rsidR="00C6380F" w:rsidRPr="00517164">
        <w:rPr>
          <w:rFonts w:ascii="Times New Roman" w:hAnsi="Times New Roman" w:cs="Times New Roman"/>
          <w:b/>
          <w:sz w:val="28"/>
          <w:szCs w:val="28"/>
        </w:rPr>
        <w:tab/>
      </w:r>
      <w:r w:rsidR="00C6380F" w:rsidRPr="00517164">
        <w:rPr>
          <w:rFonts w:ascii="Times New Roman" w:hAnsi="Times New Roman" w:cs="Times New Roman"/>
          <w:b/>
          <w:sz w:val="28"/>
          <w:szCs w:val="28"/>
        </w:rPr>
        <w:tab/>
      </w:r>
      <w:r w:rsidR="00B70EF6" w:rsidRPr="00517164">
        <w:rPr>
          <w:rFonts w:ascii="Times New Roman" w:hAnsi="Times New Roman" w:cs="Times New Roman"/>
          <w:b/>
          <w:sz w:val="28"/>
          <w:szCs w:val="28"/>
        </w:rPr>
        <w:tab/>
      </w:r>
      <w:r w:rsidR="00B70EF6" w:rsidRPr="00517164">
        <w:rPr>
          <w:rFonts w:ascii="Times New Roman" w:hAnsi="Times New Roman" w:cs="Times New Roman"/>
          <w:b/>
          <w:sz w:val="28"/>
          <w:szCs w:val="28"/>
        </w:rPr>
        <w:tab/>
      </w:r>
      <w:r w:rsidR="00B70EF6" w:rsidRPr="00517164">
        <w:rPr>
          <w:rFonts w:ascii="Times New Roman" w:hAnsi="Times New Roman" w:cs="Times New Roman"/>
          <w:b/>
          <w:sz w:val="28"/>
          <w:szCs w:val="28"/>
        </w:rPr>
        <w:tab/>
      </w:r>
      <w:r w:rsidR="00B70EF6" w:rsidRPr="00517164">
        <w:rPr>
          <w:rFonts w:ascii="Times New Roman" w:hAnsi="Times New Roman" w:cs="Times New Roman"/>
          <w:b/>
          <w:sz w:val="28"/>
          <w:szCs w:val="28"/>
        </w:rPr>
        <w:tab/>
      </w:r>
      <w:r w:rsidR="00B70EF6" w:rsidRPr="00517164">
        <w:rPr>
          <w:rFonts w:ascii="Times New Roman" w:hAnsi="Times New Roman" w:cs="Times New Roman"/>
          <w:b/>
          <w:sz w:val="28"/>
          <w:szCs w:val="28"/>
        </w:rPr>
        <w:tab/>
      </w:r>
      <w:r w:rsidR="00C6380F" w:rsidRPr="00517164">
        <w:rPr>
          <w:rFonts w:ascii="Times New Roman" w:hAnsi="Times New Roman" w:cs="Times New Roman"/>
          <w:b/>
          <w:sz w:val="28"/>
          <w:szCs w:val="28"/>
        </w:rPr>
        <w:tab/>
      </w:r>
      <w:r w:rsidR="00BA687E" w:rsidRPr="00517164">
        <w:rPr>
          <w:rFonts w:ascii="Times New Roman" w:hAnsi="Times New Roman" w:cs="Times New Roman"/>
          <w:b/>
          <w:sz w:val="28"/>
          <w:szCs w:val="28"/>
        </w:rPr>
        <w:t xml:space="preserve"> </w:t>
      </w:r>
      <w:r w:rsidR="000432E0" w:rsidRPr="00517164">
        <w:rPr>
          <w:rFonts w:ascii="Times New Roman" w:hAnsi="Times New Roman" w:cs="Times New Roman"/>
          <w:b/>
          <w:sz w:val="28"/>
          <w:szCs w:val="28"/>
          <w:lang w:val="ru-RU"/>
        </w:rPr>
        <w:t xml:space="preserve">          </w:t>
      </w:r>
      <w:r w:rsidR="00A1154A" w:rsidRPr="00517164">
        <w:rPr>
          <w:rFonts w:ascii="Times New Roman" w:hAnsi="Times New Roman" w:cs="Times New Roman"/>
          <w:b/>
          <w:sz w:val="28"/>
          <w:szCs w:val="28"/>
        </w:rPr>
        <w:t xml:space="preserve"> </w:t>
      </w:r>
      <w:r w:rsidR="00B70EF6" w:rsidRPr="00517164">
        <w:rPr>
          <w:rFonts w:ascii="Times New Roman" w:hAnsi="Times New Roman" w:cs="Times New Roman"/>
          <w:b/>
          <w:sz w:val="28"/>
          <w:szCs w:val="28"/>
        </w:rPr>
        <w:t>О</w:t>
      </w:r>
      <w:r w:rsidR="00BA687E" w:rsidRPr="00517164">
        <w:rPr>
          <w:rFonts w:ascii="Times New Roman" w:hAnsi="Times New Roman" w:cs="Times New Roman"/>
          <w:b/>
          <w:sz w:val="28"/>
          <w:szCs w:val="28"/>
        </w:rPr>
        <w:t>.</w:t>
      </w:r>
      <w:r w:rsidR="00B70EF6" w:rsidRPr="00517164">
        <w:rPr>
          <w:rFonts w:ascii="Times New Roman" w:hAnsi="Times New Roman" w:cs="Times New Roman"/>
          <w:b/>
          <w:sz w:val="28"/>
          <w:szCs w:val="28"/>
        </w:rPr>
        <w:t> ВЛАСОВ</w:t>
      </w:r>
    </w:p>
    <w:sectPr w:rsidR="00B517F8" w:rsidRPr="00517164" w:rsidSect="00517164">
      <w:headerReference w:type="default" r:id="rId10"/>
      <w:pgSz w:w="11906" w:h="16838" w:code="9"/>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78" w:rsidRDefault="00985B78" w:rsidP="00CA4AA4">
      <w:pPr>
        <w:spacing w:after="0" w:line="240" w:lineRule="auto"/>
      </w:pPr>
      <w:r>
        <w:separator/>
      </w:r>
    </w:p>
  </w:endnote>
  <w:endnote w:type="continuationSeparator" w:id="0">
    <w:p w:rsidR="00985B78" w:rsidRDefault="00985B78" w:rsidP="00CA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78" w:rsidRDefault="00985B78" w:rsidP="00CA4AA4">
      <w:pPr>
        <w:spacing w:after="0" w:line="240" w:lineRule="auto"/>
      </w:pPr>
      <w:r>
        <w:separator/>
      </w:r>
    </w:p>
  </w:footnote>
  <w:footnote w:type="continuationSeparator" w:id="0">
    <w:p w:rsidR="00985B78" w:rsidRDefault="00985B78" w:rsidP="00CA4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765702"/>
      <w:docPartObj>
        <w:docPartGallery w:val="Page Numbers (Top of Page)"/>
        <w:docPartUnique/>
      </w:docPartObj>
    </w:sdtPr>
    <w:sdtEndPr/>
    <w:sdtContent>
      <w:p w:rsidR="00CA4AA4" w:rsidRDefault="00B944A1">
        <w:pPr>
          <w:pStyle w:val="a6"/>
          <w:jc w:val="center"/>
        </w:pPr>
        <w:r>
          <w:fldChar w:fldCharType="begin"/>
        </w:r>
        <w:r w:rsidR="00CA4AA4">
          <w:instrText>PAGE   \* MERGEFORMAT</w:instrText>
        </w:r>
        <w:r>
          <w:fldChar w:fldCharType="separate"/>
        </w:r>
        <w:r w:rsidR="00FA724A" w:rsidRPr="00FA724A">
          <w:rPr>
            <w:noProof/>
            <w:lang w:val="ru-RU"/>
          </w:rPr>
          <w:t>2</w:t>
        </w:r>
        <w:r>
          <w:fldChar w:fldCharType="end"/>
        </w:r>
      </w:p>
    </w:sdtContent>
  </w:sdt>
  <w:p w:rsidR="00CA4AA4" w:rsidRDefault="00CA4A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573"/>
    <w:multiLevelType w:val="hybridMultilevel"/>
    <w:tmpl w:val="5CFCC2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642D97"/>
    <w:multiLevelType w:val="hybridMultilevel"/>
    <w:tmpl w:val="CAE2C0A6"/>
    <w:lvl w:ilvl="0" w:tplc="CDFCE1B0">
      <w:numFmt w:val="bullet"/>
      <w:lvlText w:val=""/>
      <w:lvlJc w:val="left"/>
      <w:pPr>
        <w:ind w:left="1620" w:hanging="90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A5F6C27"/>
    <w:multiLevelType w:val="hybridMultilevel"/>
    <w:tmpl w:val="F912AC62"/>
    <w:lvl w:ilvl="0" w:tplc="79B448FA">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nsid w:val="4B332F7F"/>
    <w:multiLevelType w:val="hybridMultilevel"/>
    <w:tmpl w:val="63FE9D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1FC6473"/>
    <w:multiLevelType w:val="hybridMultilevel"/>
    <w:tmpl w:val="B97AF37C"/>
    <w:lvl w:ilvl="0" w:tplc="CDFCE1B0">
      <w:numFmt w:val="bullet"/>
      <w:lvlText w:val=""/>
      <w:lvlJc w:val="left"/>
      <w:pPr>
        <w:ind w:left="1620" w:hanging="90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02A3D3D"/>
    <w:multiLevelType w:val="hybridMultilevel"/>
    <w:tmpl w:val="FA9E46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BB"/>
    <w:rsid w:val="0000482F"/>
    <w:rsid w:val="000060E1"/>
    <w:rsid w:val="00006E38"/>
    <w:rsid w:val="00012C3E"/>
    <w:rsid w:val="0001666F"/>
    <w:rsid w:val="000347BD"/>
    <w:rsid w:val="000432E0"/>
    <w:rsid w:val="00044047"/>
    <w:rsid w:val="000676C4"/>
    <w:rsid w:val="000700B8"/>
    <w:rsid w:val="0007026D"/>
    <w:rsid w:val="0008499B"/>
    <w:rsid w:val="0008726A"/>
    <w:rsid w:val="00097D96"/>
    <w:rsid w:val="000A0CAB"/>
    <w:rsid w:val="000A273B"/>
    <w:rsid w:val="000B28E2"/>
    <w:rsid w:val="000B33E0"/>
    <w:rsid w:val="000B5D98"/>
    <w:rsid w:val="000B76C1"/>
    <w:rsid w:val="000C01AC"/>
    <w:rsid w:val="000C4D6B"/>
    <w:rsid w:val="000C780E"/>
    <w:rsid w:val="000E05A2"/>
    <w:rsid w:val="000F09D2"/>
    <w:rsid w:val="000F422F"/>
    <w:rsid w:val="00102344"/>
    <w:rsid w:val="001073A9"/>
    <w:rsid w:val="001107E2"/>
    <w:rsid w:val="00110AD5"/>
    <w:rsid w:val="00124F37"/>
    <w:rsid w:val="0012592D"/>
    <w:rsid w:val="00126F65"/>
    <w:rsid w:val="00126FD4"/>
    <w:rsid w:val="00130844"/>
    <w:rsid w:val="0013097D"/>
    <w:rsid w:val="001312D9"/>
    <w:rsid w:val="0013217B"/>
    <w:rsid w:val="001323E3"/>
    <w:rsid w:val="00147986"/>
    <w:rsid w:val="00147A56"/>
    <w:rsid w:val="001538CA"/>
    <w:rsid w:val="00154D49"/>
    <w:rsid w:val="00155856"/>
    <w:rsid w:val="00156536"/>
    <w:rsid w:val="00160029"/>
    <w:rsid w:val="00161B5C"/>
    <w:rsid w:val="001623F6"/>
    <w:rsid w:val="00174986"/>
    <w:rsid w:val="0018138A"/>
    <w:rsid w:val="001814A8"/>
    <w:rsid w:val="001859A1"/>
    <w:rsid w:val="00186274"/>
    <w:rsid w:val="00192AFE"/>
    <w:rsid w:val="00197A4B"/>
    <w:rsid w:val="001A0D46"/>
    <w:rsid w:val="001A37BF"/>
    <w:rsid w:val="001B0FC8"/>
    <w:rsid w:val="001B24A5"/>
    <w:rsid w:val="001B3595"/>
    <w:rsid w:val="001C1869"/>
    <w:rsid w:val="001C3CB1"/>
    <w:rsid w:val="001C3E75"/>
    <w:rsid w:val="001C47BE"/>
    <w:rsid w:val="001C60DD"/>
    <w:rsid w:val="001C61DA"/>
    <w:rsid w:val="001D26F0"/>
    <w:rsid w:val="001D324D"/>
    <w:rsid w:val="001D71B5"/>
    <w:rsid w:val="001E31AA"/>
    <w:rsid w:val="001E7FC6"/>
    <w:rsid w:val="001F09A3"/>
    <w:rsid w:val="001F0B1C"/>
    <w:rsid w:val="001F2F92"/>
    <w:rsid w:val="001F3D0D"/>
    <w:rsid w:val="001F3DD2"/>
    <w:rsid w:val="001F5F27"/>
    <w:rsid w:val="001F6089"/>
    <w:rsid w:val="00204D2E"/>
    <w:rsid w:val="002056C2"/>
    <w:rsid w:val="00217479"/>
    <w:rsid w:val="0022083C"/>
    <w:rsid w:val="002252D9"/>
    <w:rsid w:val="00225988"/>
    <w:rsid w:val="00227539"/>
    <w:rsid w:val="0023266F"/>
    <w:rsid w:val="0023539E"/>
    <w:rsid w:val="002440BF"/>
    <w:rsid w:val="0024695C"/>
    <w:rsid w:val="00246C1E"/>
    <w:rsid w:val="00251876"/>
    <w:rsid w:val="00260986"/>
    <w:rsid w:val="00262AAA"/>
    <w:rsid w:val="002651FD"/>
    <w:rsid w:val="0027223E"/>
    <w:rsid w:val="00272844"/>
    <w:rsid w:val="00275834"/>
    <w:rsid w:val="00282936"/>
    <w:rsid w:val="0028356E"/>
    <w:rsid w:val="002844EB"/>
    <w:rsid w:val="00287125"/>
    <w:rsid w:val="002873F5"/>
    <w:rsid w:val="0029157F"/>
    <w:rsid w:val="002A64D6"/>
    <w:rsid w:val="002B08C9"/>
    <w:rsid w:val="002B2667"/>
    <w:rsid w:val="002B6454"/>
    <w:rsid w:val="002C235E"/>
    <w:rsid w:val="002C429C"/>
    <w:rsid w:val="002C4B9D"/>
    <w:rsid w:val="002C4BD5"/>
    <w:rsid w:val="002C4C96"/>
    <w:rsid w:val="002C52B1"/>
    <w:rsid w:val="002C738C"/>
    <w:rsid w:val="002D3D3D"/>
    <w:rsid w:val="002D6367"/>
    <w:rsid w:val="002E2568"/>
    <w:rsid w:val="002E74DE"/>
    <w:rsid w:val="002F174B"/>
    <w:rsid w:val="002F2A8C"/>
    <w:rsid w:val="003018FC"/>
    <w:rsid w:val="00302481"/>
    <w:rsid w:val="00307F81"/>
    <w:rsid w:val="00310F1B"/>
    <w:rsid w:val="00313064"/>
    <w:rsid w:val="00322D6C"/>
    <w:rsid w:val="00327347"/>
    <w:rsid w:val="003321A3"/>
    <w:rsid w:val="00333F6B"/>
    <w:rsid w:val="00335A9B"/>
    <w:rsid w:val="00340F71"/>
    <w:rsid w:val="0035032A"/>
    <w:rsid w:val="0035465A"/>
    <w:rsid w:val="00356F80"/>
    <w:rsid w:val="0036359C"/>
    <w:rsid w:val="00364878"/>
    <w:rsid w:val="003661E9"/>
    <w:rsid w:val="00366C3D"/>
    <w:rsid w:val="00380B8D"/>
    <w:rsid w:val="00382AB4"/>
    <w:rsid w:val="00384541"/>
    <w:rsid w:val="003A0DB5"/>
    <w:rsid w:val="003A46B4"/>
    <w:rsid w:val="003A5812"/>
    <w:rsid w:val="003A71A6"/>
    <w:rsid w:val="003B33D5"/>
    <w:rsid w:val="003B7590"/>
    <w:rsid w:val="003C2D25"/>
    <w:rsid w:val="003C3363"/>
    <w:rsid w:val="003D4CD4"/>
    <w:rsid w:val="003E2E5A"/>
    <w:rsid w:val="003E4A7C"/>
    <w:rsid w:val="003E7458"/>
    <w:rsid w:val="00404373"/>
    <w:rsid w:val="004240FE"/>
    <w:rsid w:val="00427F5F"/>
    <w:rsid w:val="00431DEE"/>
    <w:rsid w:val="00440D1B"/>
    <w:rsid w:val="0044403E"/>
    <w:rsid w:val="00446972"/>
    <w:rsid w:val="00446D1A"/>
    <w:rsid w:val="00452B8A"/>
    <w:rsid w:val="00455FB6"/>
    <w:rsid w:val="00457787"/>
    <w:rsid w:val="00470819"/>
    <w:rsid w:val="00474E5F"/>
    <w:rsid w:val="004750FA"/>
    <w:rsid w:val="00476726"/>
    <w:rsid w:val="00480072"/>
    <w:rsid w:val="00483F58"/>
    <w:rsid w:val="00490404"/>
    <w:rsid w:val="0049223C"/>
    <w:rsid w:val="00492330"/>
    <w:rsid w:val="00492C22"/>
    <w:rsid w:val="0049312F"/>
    <w:rsid w:val="00494149"/>
    <w:rsid w:val="004A0B26"/>
    <w:rsid w:val="004A3611"/>
    <w:rsid w:val="004A67F2"/>
    <w:rsid w:val="004C421F"/>
    <w:rsid w:val="004D18F6"/>
    <w:rsid w:val="004E0187"/>
    <w:rsid w:val="004E0FB5"/>
    <w:rsid w:val="004F0A73"/>
    <w:rsid w:val="004F37A3"/>
    <w:rsid w:val="00504261"/>
    <w:rsid w:val="005077F2"/>
    <w:rsid w:val="00517164"/>
    <w:rsid w:val="00521072"/>
    <w:rsid w:val="00522D2E"/>
    <w:rsid w:val="005254A9"/>
    <w:rsid w:val="00527374"/>
    <w:rsid w:val="00531392"/>
    <w:rsid w:val="005326E9"/>
    <w:rsid w:val="005410E8"/>
    <w:rsid w:val="0054202E"/>
    <w:rsid w:val="00542D7D"/>
    <w:rsid w:val="005446F4"/>
    <w:rsid w:val="00561169"/>
    <w:rsid w:val="005622F2"/>
    <w:rsid w:val="00565ADF"/>
    <w:rsid w:val="0056610F"/>
    <w:rsid w:val="00575351"/>
    <w:rsid w:val="00577405"/>
    <w:rsid w:val="00584DF8"/>
    <w:rsid w:val="00591CB5"/>
    <w:rsid w:val="00591D7A"/>
    <w:rsid w:val="00595B4F"/>
    <w:rsid w:val="00597AD1"/>
    <w:rsid w:val="005A44FB"/>
    <w:rsid w:val="005A528F"/>
    <w:rsid w:val="005B12A2"/>
    <w:rsid w:val="005B76F1"/>
    <w:rsid w:val="005C0FE8"/>
    <w:rsid w:val="005C1101"/>
    <w:rsid w:val="005C342E"/>
    <w:rsid w:val="005C4354"/>
    <w:rsid w:val="005D377B"/>
    <w:rsid w:val="005D37B6"/>
    <w:rsid w:val="005D3DB7"/>
    <w:rsid w:val="005D4336"/>
    <w:rsid w:val="005D70AB"/>
    <w:rsid w:val="005D78B0"/>
    <w:rsid w:val="005E3568"/>
    <w:rsid w:val="005E6A22"/>
    <w:rsid w:val="005F1090"/>
    <w:rsid w:val="005F157C"/>
    <w:rsid w:val="005F1BD1"/>
    <w:rsid w:val="005F73B1"/>
    <w:rsid w:val="00602ACE"/>
    <w:rsid w:val="00607B16"/>
    <w:rsid w:val="006100D7"/>
    <w:rsid w:val="006120B6"/>
    <w:rsid w:val="0061585A"/>
    <w:rsid w:val="00615BF2"/>
    <w:rsid w:val="006338A5"/>
    <w:rsid w:val="00633F30"/>
    <w:rsid w:val="006350E4"/>
    <w:rsid w:val="00641A74"/>
    <w:rsid w:val="00642A83"/>
    <w:rsid w:val="00644D45"/>
    <w:rsid w:val="00647352"/>
    <w:rsid w:val="0065146E"/>
    <w:rsid w:val="00661536"/>
    <w:rsid w:val="0066310C"/>
    <w:rsid w:val="00665330"/>
    <w:rsid w:val="00667CDE"/>
    <w:rsid w:val="00670E32"/>
    <w:rsid w:val="00672672"/>
    <w:rsid w:val="00676186"/>
    <w:rsid w:val="00685363"/>
    <w:rsid w:val="0068653F"/>
    <w:rsid w:val="0068787A"/>
    <w:rsid w:val="00691E4C"/>
    <w:rsid w:val="00692A49"/>
    <w:rsid w:val="00694C6B"/>
    <w:rsid w:val="006A54CB"/>
    <w:rsid w:val="006A6074"/>
    <w:rsid w:val="006A6DA1"/>
    <w:rsid w:val="006B077A"/>
    <w:rsid w:val="006B5DBB"/>
    <w:rsid w:val="006C03AC"/>
    <w:rsid w:val="006C1A03"/>
    <w:rsid w:val="006C2590"/>
    <w:rsid w:val="006C297C"/>
    <w:rsid w:val="006C488A"/>
    <w:rsid w:val="006C4FDA"/>
    <w:rsid w:val="006C554E"/>
    <w:rsid w:val="006D0E5D"/>
    <w:rsid w:val="006D48DC"/>
    <w:rsid w:val="006D4E07"/>
    <w:rsid w:val="006F2C78"/>
    <w:rsid w:val="00702EFB"/>
    <w:rsid w:val="0070301D"/>
    <w:rsid w:val="0070554B"/>
    <w:rsid w:val="00706DD5"/>
    <w:rsid w:val="00716061"/>
    <w:rsid w:val="00717452"/>
    <w:rsid w:val="007200B6"/>
    <w:rsid w:val="007254FE"/>
    <w:rsid w:val="00727F86"/>
    <w:rsid w:val="00742A9F"/>
    <w:rsid w:val="00755F3D"/>
    <w:rsid w:val="00757465"/>
    <w:rsid w:val="00760DEA"/>
    <w:rsid w:val="00771DD7"/>
    <w:rsid w:val="007810E9"/>
    <w:rsid w:val="00792819"/>
    <w:rsid w:val="0079472F"/>
    <w:rsid w:val="00794EF8"/>
    <w:rsid w:val="007968C4"/>
    <w:rsid w:val="00797C61"/>
    <w:rsid w:val="007A06CE"/>
    <w:rsid w:val="007A661B"/>
    <w:rsid w:val="007B228A"/>
    <w:rsid w:val="007B2D17"/>
    <w:rsid w:val="007E04B3"/>
    <w:rsid w:val="007E0CC5"/>
    <w:rsid w:val="007F6666"/>
    <w:rsid w:val="00801353"/>
    <w:rsid w:val="00805074"/>
    <w:rsid w:val="0081426C"/>
    <w:rsid w:val="00816AA0"/>
    <w:rsid w:val="008177B6"/>
    <w:rsid w:val="00817E0F"/>
    <w:rsid w:val="008240B6"/>
    <w:rsid w:val="0083052D"/>
    <w:rsid w:val="00831AF6"/>
    <w:rsid w:val="00832B2C"/>
    <w:rsid w:val="00837489"/>
    <w:rsid w:val="008455B9"/>
    <w:rsid w:val="008516E9"/>
    <w:rsid w:val="00852467"/>
    <w:rsid w:val="00853750"/>
    <w:rsid w:val="0086195B"/>
    <w:rsid w:val="0086363A"/>
    <w:rsid w:val="0087335F"/>
    <w:rsid w:val="0087651A"/>
    <w:rsid w:val="00882B1D"/>
    <w:rsid w:val="00884183"/>
    <w:rsid w:val="00890225"/>
    <w:rsid w:val="00890447"/>
    <w:rsid w:val="00894A2E"/>
    <w:rsid w:val="00897372"/>
    <w:rsid w:val="008B3644"/>
    <w:rsid w:val="008B37F9"/>
    <w:rsid w:val="008B4B9B"/>
    <w:rsid w:val="008C1139"/>
    <w:rsid w:val="008C673A"/>
    <w:rsid w:val="008D06BC"/>
    <w:rsid w:val="008D2863"/>
    <w:rsid w:val="008E362F"/>
    <w:rsid w:val="008E5474"/>
    <w:rsid w:val="008E6C1A"/>
    <w:rsid w:val="008E7A50"/>
    <w:rsid w:val="008F173B"/>
    <w:rsid w:val="008F62B0"/>
    <w:rsid w:val="009171C9"/>
    <w:rsid w:val="00920C79"/>
    <w:rsid w:val="00920F60"/>
    <w:rsid w:val="00921EDE"/>
    <w:rsid w:val="00924F92"/>
    <w:rsid w:val="00927E0A"/>
    <w:rsid w:val="00931298"/>
    <w:rsid w:val="00940556"/>
    <w:rsid w:val="0094193B"/>
    <w:rsid w:val="009438CB"/>
    <w:rsid w:val="00946781"/>
    <w:rsid w:val="009524F5"/>
    <w:rsid w:val="0095483C"/>
    <w:rsid w:val="0096100C"/>
    <w:rsid w:val="009654AF"/>
    <w:rsid w:val="009671CF"/>
    <w:rsid w:val="00971A0F"/>
    <w:rsid w:val="0097207D"/>
    <w:rsid w:val="009731BD"/>
    <w:rsid w:val="009761B6"/>
    <w:rsid w:val="00984E98"/>
    <w:rsid w:val="00985B78"/>
    <w:rsid w:val="00986F19"/>
    <w:rsid w:val="00991496"/>
    <w:rsid w:val="009B35EB"/>
    <w:rsid w:val="009B47D2"/>
    <w:rsid w:val="009C6868"/>
    <w:rsid w:val="009D0654"/>
    <w:rsid w:val="009D47D2"/>
    <w:rsid w:val="009D5252"/>
    <w:rsid w:val="009D7272"/>
    <w:rsid w:val="009D7A70"/>
    <w:rsid w:val="009E6C36"/>
    <w:rsid w:val="009E7E79"/>
    <w:rsid w:val="009F2BF0"/>
    <w:rsid w:val="009F5F90"/>
    <w:rsid w:val="00A0126B"/>
    <w:rsid w:val="00A01340"/>
    <w:rsid w:val="00A01C43"/>
    <w:rsid w:val="00A03053"/>
    <w:rsid w:val="00A050B5"/>
    <w:rsid w:val="00A050F3"/>
    <w:rsid w:val="00A1002A"/>
    <w:rsid w:val="00A1154A"/>
    <w:rsid w:val="00A118B2"/>
    <w:rsid w:val="00A12711"/>
    <w:rsid w:val="00A17365"/>
    <w:rsid w:val="00A25493"/>
    <w:rsid w:val="00A25B1F"/>
    <w:rsid w:val="00A2700D"/>
    <w:rsid w:val="00A438A8"/>
    <w:rsid w:val="00A4500D"/>
    <w:rsid w:val="00A45364"/>
    <w:rsid w:val="00A51B53"/>
    <w:rsid w:val="00A5322B"/>
    <w:rsid w:val="00A564CD"/>
    <w:rsid w:val="00A6011A"/>
    <w:rsid w:val="00A65620"/>
    <w:rsid w:val="00A66A9A"/>
    <w:rsid w:val="00A719AB"/>
    <w:rsid w:val="00A72CD7"/>
    <w:rsid w:val="00A7354F"/>
    <w:rsid w:val="00A762D6"/>
    <w:rsid w:val="00A81C73"/>
    <w:rsid w:val="00A930E0"/>
    <w:rsid w:val="00A95828"/>
    <w:rsid w:val="00A96C21"/>
    <w:rsid w:val="00A9726C"/>
    <w:rsid w:val="00AA336D"/>
    <w:rsid w:val="00AA5BB0"/>
    <w:rsid w:val="00AB246F"/>
    <w:rsid w:val="00AB7073"/>
    <w:rsid w:val="00AC13E9"/>
    <w:rsid w:val="00AC3E34"/>
    <w:rsid w:val="00AC5469"/>
    <w:rsid w:val="00AD733C"/>
    <w:rsid w:val="00AF1FAC"/>
    <w:rsid w:val="00AF40BD"/>
    <w:rsid w:val="00AF644F"/>
    <w:rsid w:val="00B061A1"/>
    <w:rsid w:val="00B10381"/>
    <w:rsid w:val="00B26C73"/>
    <w:rsid w:val="00B35528"/>
    <w:rsid w:val="00B35835"/>
    <w:rsid w:val="00B424E9"/>
    <w:rsid w:val="00B46579"/>
    <w:rsid w:val="00B517F8"/>
    <w:rsid w:val="00B528C2"/>
    <w:rsid w:val="00B5350B"/>
    <w:rsid w:val="00B60DBF"/>
    <w:rsid w:val="00B70EF6"/>
    <w:rsid w:val="00B7581F"/>
    <w:rsid w:val="00B76E47"/>
    <w:rsid w:val="00B83DAC"/>
    <w:rsid w:val="00B85DDA"/>
    <w:rsid w:val="00B87016"/>
    <w:rsid w:val="00B944A1"/>
    <w:rsid w:val="00B94A6E"/>
    <w:rsid w:val="00B96295"/>
    <w:rsid w:val="00BA4F59"/>
    <w:rsid w:val="00BA594D"/>
    <w:rsid w:val="00BA687E"/>
    <w:rsid w:val="00BB1ECB"/>
    <w:rsid w:val="00BC0898"/>
    <w:rsid w:val="00BD6009"/>
    <w:rsid w:val="00BE11B6"/>
    <w:rsid w:val="00BE3968"/>
    <w:rsid w:val="00BE6090"/>
    <w:rsid w:val="00BF4B53"/>
    <w:rsid w:val="00C01BDB"/>
    <w:rsid w:val="00C057D2"/>
    <w:rsid w:val="00C058F3"/>
    <w:rsid w:val="00C1115C"/>
    <w:rsid w:val="00C13E2D"/>
    <w:rsid w:val="00C20B6B"/>
    <w:rsid w:val="00C23713"/>
    <w:rsid w:val="00C366DE"/>
    <w:rsid w:val="00C36F8A"/>
    <w:rsid w:val="00C529B0"/>
    <w:rsid w:val="00C5547E"/>
    <w:rsid w:val="00C56563"/>
    <w:rsid w:val="00C56F24"/>
    <w:rsid w:val="00C6380F"/>
    <w:rsid w:val="00C63F0B"/>
    <w:rsid w:val="00C660DB"/>
    <w:rsid w:val="00C72C42"/>
    <w:rsid w:val="00C73D29"/>
    <w:rsid w:val="00C77438"/>
    <w:rsid w:val="00C838B3"/>
    <w:rsid w:val="00CA00DE"/>
    <w:rsid w:val="00CA0195"/>
    <w:rsid w:val="00CA2525"/>
    <w:rsid w:val="00CA2545"/>
    <w:rsid w:val="00CA4AA4"/>
    <w:rsid w:val="00CA797D"/>
    <w:rsid w:val="00CB0068"/>
    <w:rsid w:val="00CB2587"/>
    <w:rsid w:val="00CB5A0E"/>
    <w:rsid w:val="00CB6C18"/>
    <w:rsid w:val="00CC0B5F"/>
    <w:rsid w:val="00CC313B"/>
    <w:rsid w:val="00CC4539"/>
    <w:rsid w:val="00CC5439"/>
    <w:rsid w:val="00CC6FE5"/>
    <w:rsid w:val="00CD5F89"/>
    <w:rsid w:val="00CE026D"/>
    <w:rsid w:val="00CE48AF"/>
    <w:rsid w:val="00CE7104"/>
    <w:rsid w:val="00CF79A6"/>
    <w:rsid w:val="00D02AED"/>
    <w:rsid w:val="00D05DAB"/>
    <w:rsid w:val="00D07CD6"/>
    <w:rsid w:val="00D10C9D"/>
    <w:rsid w:val="00D117F5"/>
    <w:rsid w:val="00D11F94"/>
    <w:rsid w:val="00D12100"/>
    <w:rsid w:val="00D140BF"/>
    <w:rsid w:val="00D26E33"/>
    <w:rsid w:val="00D33975"/>
    <w:rsid w:val="00D35921"/>
    <w:rsid w:val="00D4680E"/>
    <w:rsid w:val="00D468DE"/>
    <w:rsid w:val="00D53924"/>
    <w:rsid w:val="00D60065"/>
    <w:rsid w:val="00D62FEC"/>
    <w:rsid w:val="00D64064"/>
    <w:rsid w:val="00D8099B"/>
    <w:rsid w:val="00D82E3D"/>
    <w:rsid w:val="00D83CE2"/>
    <w:rsid w:val="00D855AC"/>
    <w:rsid w:val="00D938DB"/>
    <w:rsid w:val="00DA4692"/>
    <w:rsid w:val="00DA6A0E"/>
    <w:rsid w:val="00DB1DD8"/>
    <w:rsid w:val="00DC0406"/>
    <w:rsid w:val="00DC533F"/>
    <w:rsid w:val="00DE1D16"/>
    <w:rsid w:val="00DE35A8"/>
    <w:rsid w:val="00DF69DD"/>
    <w:rsid w:val="00DF72B8"/>
    <w:rsid w:val="00E01D77"/>
    <w:rsid w:val="00E128A4"/>
    <w:rsid w:val="00E22A8C"/>
    <w:rsid w:val="00E279D6"/>
    <w:rsid w:val="00E32E08"/>
    <w:rsid w:val="00E33562"/>
    <w:rsid w:val="00E34312"/>
    <w:rsid w:val="00E352CF"/>
    <w:rsid w:val="00E40246"/>
    <w:rsid w:val="00E41634"/>
    <w:rsid w:val="00E51F04"/>
    <w:rsid w:val="00E610F7"/>
    <w:rsid w:val="00E657A2"/>
    <w:rsid w:val="00E86E2C"/>
    <w:rsid w:val="00E9152C"/>
    <w:rsid w:val="00E92565"/>
    <w:rsid w:val="00EB0B08"/>
    <w:rsid w:val="00EC073B"/>
    <w:rsid w:val="00EC5096"/>
    <w:rsid w:val="00EC691F"/>
    <w:rsid w:val="00ED59C6"/>
    <w:rsid w:val="00ED63BE"/>
    <w:rsid w:val="00EE0CC3"/>
    <w:rsid w:val="00EF2F40"/>
    <w:rsid w:val="00EF6654"/>
    <w:rsid w:val="00F02660"/>
    <w:rsid w:val="00F11AAD"/>
    <w:rsid w:val="00F14214"/>
    <w:rsid w:val="00F16AC8"/>
    <w:rsid w:val="00F34BF0"/>
    <w:rsid w:val="00F376AA"/>
    <w:rsid w:val="00F40D39"/>
    <w:rsid w:val="00F41777"/>
    <w:rsid w:val="00F44047"/>
    <w:rsid w:val="00F50055"/>
    <w:rsid w:val="00F50695"/>
    <w:rsid w:val="00F74351"/>
    <w:rsid w:val="00F758B1"/>
    <w:rsid w:val="00F8249E"/>
    <w:rsid w:val="00F865BB"/>
    <w:rsid w:val="00F91BF4"/>
    <w:rsid w:val="00F979AE"/>
    <w:rsid w:val="00FA465A"/>
    <w:rsid w:val="00FA683D"/>
    <w:rsid w:val="00FA724A"/>
    <w:rsid w:val="00FB12EF"/>
    <w:rsid w:val="00FB13B1"/>
    <w:rsid w:val="00FC00CF"/>
    <w:rsid w:val="00FC3662"/>
    <w:rsid w:val="00FC765F"/>
    <w:rsid w:val="00FE1277"/>
    <w:rsid w:val="00FE1BFC"/>
    <w:rsid w:val="00FE4AF4"/>
    <w:rsid w:val="00FE504B"/>
    <w:rsid w:val="00FE757A"/>
    <w:rsid w:val="00FF1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22D6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6DE"/>
    <w:pPr>
      <w:ind w:left="720"/>
      <w:contextualSpacing/>
    </w:pPr>
  </w:style>
  <w:style w:type="table" w:styleId="a4">
    <w:name w:val="Table Grid"/>
    <w:basedOn w:val="a1"/>
    <w:uiPriority w:val="59"/>
    <w:rsid w:val="00C3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Обычный (Web"/>
    <w:basedOn w:val="a"/>
    <w:link w:val="1"/>
    <w:rsid w:val="00A4500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Обычный (Web Знак"/>
    <w:link w:val="a5"/>
    <w:locked/>
    <w:rsid w:val="00A4500D"/>
    <w:rPr>
      <w:rFonts w:ascii="Times New Roman" w:eastAsia="Times New Roman" w:hAnsi="Times New Roman" w:cs="Times New Roman"/>
      <w:color w:val="000000"/>
      <w:sz w:val="24"/>
      <w:szCs w:val="24"/>
      <w:lang w:eastAsia="ru-RU"/>
    </w:rPr>
  </w:style>
  <w:style w:type="table" w:customStyle="1" w:styleId="10">
    <w:name w:val="Сетка таблицы1"/>
    <w:basedOn w:val="a1"/>
    <w:next w:val="a4"/>
    <w:uiPriority w:val="59"/>
    <w:rsid w:val="00542D7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8B364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A2549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2B266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D11F9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22D6C"/>
    <w:rPr>
      <w:rFonts w:ascii="Arial" w:eastAsia="Times New Roman" w:hAnsi="Arial" w:cs="Arial"/>
      <w:b/>
      <w:bCs/>
      <w:sz w:val="26"/>
      <w:szCs w:val="26"/>
      <w:lang w:eastAsia="ru-RU"/>
    </w:rPr>
  </w:style>
  <w:style w:type="paragraph" w:styleId="HTML">
    <w:name w:val="HTML Preformatted"/>
    <w:basedOn w:val="a"/>
    <w:link w:val="HTML0"/>
    <w:uiPriority w:val="99"/>
    <w:rsid w:val="00BF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kern w:val="1"/>
      <w:lang w:val="ru-RU" w:eastAsia="zh-CN" w:bidi="hi-IN"/>
    </w:rPr>
  </w:style>
  <w:style w:type="character" w:customStyle="1" w:styleId="HTML0">
    <w:name w:val="Стандартный HTML Знак"/>
    <w:basedOn w:val="a0"/>
    <w:link w:val="HTML"/>
    <w:uiPriority w:val="99"/>
    <w:rsid w:val="00BF4B53"/>
    <w:rPr>
      <w:rFonts w:ascii="Courier New" w:eastAsia="Times New Roman" w:hAnsi="Courier New" w:cs="Courier New"/>
      <w:color w:val="000000"/>
      <w:kern w:val="1"/>
      <w:lang w:val="ru-RU" w:eastAsia="zh-CN" w:bidi="hi-IN"/>
    </w:rPr>
  </w:style>
  <w:style w:type="table" w:customStyle="1" w:styleId="6">
    <w:name w:val="Сетка таблицы6"/>
    <w:basedOn w:val="a1"/>
    <w:next w:val="a4"/>
    <w:uiPriority w:val="59"/>
    <w:rsid w:val="00F11AA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4AA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4AA4"/>
  </w:style>
  <w:style w:type="paragraph" w:styleId="a8">
    <w:name w:val="footer"/>
    <w:basedOn w:val="a"/>
    <w:link w:val="a9"/>
    <w:uiPriority w:val="99"/>
    <w:unhideWhenUsed/>
    <w:rsid w:val="00CA4AA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A4AA4"/>
  </w:style>
  <w:style w:type="paragraph" w:styleId="aa">
    <w:name w:val="Balloon Text"/>
    <w:basedOn w:val="a"/>
    <w:link w:val="ab"/>
    <w:uiPriority w:val="99"/>
    <w:semiHidden/>
    <w:unhideWhenUsed/>
    <w:rsid w:val="00ED63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63BE"/>
    <w:rPr>
      <w:rFonts w:ascii="Tahoma" w:hAnsi="Tahoma" w:cs="Tahoma"/>
      <w:sz w:val="16"/>
      <w:szCs w:val="16"/>
    </w:rPr>
  </w:style>
  <w:style w:type="paragraph" w:styleId="ac">
    <w:name w:val="Body Text Indent"/>
    <w:basedOn w:val="a"/>
    <w:link w:val="ad"/>
    <w:rsid w:val="009F5F90"/>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F5F90"/>
    <w:rPr>
      <w:rFonts w:ascii="Times New Roman" w:eastAsia="Times New Roman" w:hAnsi="Times New Roman" w:cs="Times New Roman"/>
      <w:sz w:val="24"/>
      <w:szCs w:val="24"/>
      <w:lang w:eastAsia="ru-RU"/>
    </w:rPr>
  </w:style>
  <w:style w:type="paragraph" w:customStyle="1" w:styleId="StyleZakonu">
    <w:name w:val="StyleZakonu"/>
    <w:basedOn w:val="a"/>
    <w:link w:val="StyleZakonu0"/>
    <w:rsid w:val="00E40246"/>
    <w:pPr>
      <w:spacing w:after="60" w:line="220" w:lineRule="exact"/>
      <w:ind w:firstLine="284"/>
      <w:jc w:val="both"/>
    </w:pPr>
    <w:rPr>
      <w:rFonts w:ascii="Times New Roman" w:eastAsia="Times New Roman" w:hAnsi="Times New Roman" w:cs="Times New Roman"/>
      <w:sz w:val="20"/>
      <w:szCs w:val="20"/>
      <w:lang w:val="x-none" w:eastAsia="ru-RU"/>
    </w:rPr>
  </w:style>
  <w:style w:type="character" w:customStyle="1" w:styleId="StyleZakonu0">
    <w:name w:val="StyleZakonu Знак"/>
    <w:link w:val="StyleZakonu"/>
    <w:locked/>
    <w:rsid w:val="00E40246"/>
    <w:rPr>
      <w:rFonts w:ascii="Times New Roman" w:eastAsia="Times New Roman" w:hAnsi="Times New Rom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22D6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6DE"/>
    <w:pPr>
      <w:ind w:left="720"/>
      <w:contextualSpacing/>
    </w:pPr>
  </w:style>
  <w:style w:type="table" w:styleId="a4">
    <w:name w:val="Table Grid"/>
    <w:basedOn w:val="a1"/>
    <w:uiPriority w:val="59"/>
    <w:rsid w:val="00C3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Обычный (Web"/>
    <w:basedOn w:val="a"/>
    <w:link w:val="1"/>
    <w:rsid w:val="00A4500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Обычный (Web Знак"/>
    <w:link w:val="a5"/>
    <w:locked/>
    <w:rsid w:val="00A4500D"/>
    <w:rPr>
      <w:rFonts w:ascii="Times New Roman" w:eastAsia="Times New Roman" w:hAnsi="Times New Roman" w:cs="Times New Roman"/>
      <w:color w:val="000000"/>
      <w:sz w:val="24"/>
      <w:szCs w:val="24"/>
      <w:lang w:eastAsia="ru-RU"/>
    </w:rPr>
  </w:style>
  <w:style w:type="table" w:customStyle="1" w:styleId="10">
    <w:name w:val="Сетка таблицы1"/>
    <w:basedOn w:val="a1"/>
    <w:next w:val="a4"/>
    <w:uiPriority w:val="59"/>
    <w:rsid w:val="00542D7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8B364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A2549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2B266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D11F9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22D6C"/>
    <w:rPr>
      <w:rFonts w:ascii="Arial" w:eastAsia="Times New Roman" w:hAnsi="Arial" w:cs="Arial"/>
      <w:b/>
      <w:bCs/>
      <w:sz w:val="26"/>
      <w:szCs w:val="26"/>
      <w:lang w:eastAsia="ru-RU"/>
    </w:rPr>
  </w:style>
  <w:style w:type="paragraph" w:styleId="HTML">
    <w:name w:val="HTML Preformatted"/>
    <w:basedOn w:val="a"/>
    <w:link w:val="HTML0"/>
    <w:uiPriority w:val="99"/>
    <w:rsid w:val="00BF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kern w:val="1"/>
      <w:lang w:val="ru-RU" w:eastAsia="zh-CN" w:bidi="hi-IN"/>
    </w:rPr>
  </w:style>
  <w:style w:type="character" w:customStyle="1" w:styleId="HTML0">
    <w:name w:val="Стандартный HTML Знак"/>
    <w:basedOn w:val="a0"/>
    <w:link w:val="HTML"/>
    <w:uiPriority w:val="99"/>
    <w:rsid w:val="00BF4B53"/>
    <w:rPr>
      <w:rFonts w:ascii="Courier New" w:eastAsia="Times New Roman" w:hAnsi="Courier New" w:cs="Courier New"/>
      <w:color w:val="000000"/>
      <w:kern w:val="1"/>
      <w:lang w:val="ru-RU" w:eastAsia="zh-CN" w:bidi="hi-IN"/>
    </w:rPr>
  </w:style>
  <w:style w:type="table" w:customStyle="1" w:styleId="6">
    <w:name w:val="Сетка таблицы6"/>
    <w:basedOn w:val="a1"/>
    <w:next w:val="a4"/>
    <w:uiPriority w:val="59"/>
    <w:rsid w:val="00F11AA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4AA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4AA4"/>
  </w:style>
  <w:style w:type="paragraph" w:styleId="a8">
    <w:name w:val="footer"/>
    <w:basedOn w:val="a"/>
    <w:link w:val="a9"/>
    <w:uiPriority w:val="99"/>
    <w:unhideWhenUsed/>
    <w:rsid w:val="00CA4AA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A4AA4"/>
  </w:style>
  <w:style w:type="paragraph" w:styleId="aa">
    <w:name w:val="Balloon Text"/>
    <w:basedOn w:val="a"/>
    <w:link w:val="ab"/>
    <w:uiPriority w:val="99"/>
    <w:semiHidden/>
    <w:unhideWhenUsed/>
    <w:rsid w:val="00ED63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63BE"/>
    <w:rPr>
      <w:rFonts w:ascii="Tahoma" w:hAnsi="Tahoma" w:cs="Tahoma"/>
      <w:sz w:val="16"/>
      <w:szCs w:val="16"/>
    </w:rPr>
  </w:style>
  <w:style w:type="paragraph" w:styleId="ac">
    <w:name w:val="Body Text Indent"/>
    <w:basedOn w:val="a"/>
    <w:link w:val="ad"/>
    <w:rsid w:val="009F5F90"/>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F5F90"/>
    <w:rPr>
      <w:rFonts w:ascii="Times New Roman" w:eastAsia="Times New Roman" w:hAnsi="Times New Roman" w:cs="Times New Roman"/>
      <w:sz w:val="24"/>
      <w:szCs w:val="24"/>
      <w:lang w:eastAsia="ru-RU"/>
    </w:rPr>
  </w:style>
  <w:style w:type="paragraph" w:customStyle="1" w:styleId="StyleZakonu">
    <w:name w:val="StyleZakonu"/>
    <w:basedOn w:val="a"/>
    <w:link w:val="StyleZakonu0"/>
    <w:rsid w:val="00E40246"/>
    <w:pPr>
      <w:spacing w:after="60" w:line="220" w:lineRule="exact"/>
      <w:ind w:firstLine="284"/>
      <w:jc w:val="both"/>
    </w:pPr>
    <w:rPr>
      <w:rFonts w:ascii="Times New Roman" w:eastAsia="Times New Roman" w:hAnsi="Times New Roman" w:cs="Times New Roman"/>
      <w:sz w:val="20"/>
      <w:szCs w:val="20"/>
      <w:lang w:val="x-none" w:eastAsia="ru-RU"/>
    </w:rPr>
  </w:style>
  <w:style w:type="character" w:customStyle="1" w:styleId="StyleZakonu0">
    <w:name w:val="StyleZakonu Знак"/>
    <w:link w:val="StyleZakonu"/>
    <w:locked/>
    <w:rsid w:val="00E40246"/>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1C93-D313-43C7-8BE5-B5E46793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Pages>
  <Words>8304</Words>
  <Characters>4734</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БАКУМЕНКО АЛЬОНА ЯРОСЛАВІВНА</dc:creator>
  <cp:lastModifiedBy>КОЖЕМЯЧЕНКО ІРИНА СЕРГІЇВНА</cp:lastModifiedBy>
  <cp:revision>78</cp:revision>
  <cp:lastPrinted>2018-12-10T14:34:00Z</cp:lastPrinted>
  <dcterms:created xsi:type="dcterms:W3CDTF">2018-12-04T09:58:00Z</dcterms:created>
  <dcterms:modified xsi:type="dcterms:W3CDTF">2018-12-17T08:33:00Z</dcterms:modified>
</cp:coreProperties>
</file>