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30" w:rsidRPr="00054CA0" w:rsidRDefault="00126D30" w:rsidP="00126D30">
      <w:pPr>
        <w:pStyle w:val="ShapkaDocumentu"/>
        <w:rPr>
          <w:rFonts w:ascii="Times New Roman" w:hAnsi="Times New Roman"/>
          <w:sz w:val="28"/>
          <w:szCs w:val="28"/>
        </w:rPr>
      </w:pPr>
      <w:bookmarkStart w:id="0" w:name="_GoBack"/>
      <w:bookmarkEnd w:id="0"/>
      <w:r w:rsidRPr="00054CA0">
        <w:rPr>
          <w:rFonts w:ascii="Times New Roman" w:hAnsi="Times New Roman"/>
          <w:sz w:val="28"/>
          <w:szCs w:val="28"/>
        </w:rPr>
        <w:t>ЗАТВЕРДЖЕНО</w:t>
      </w:r>
      <w:r w:rsidRPr="00054CA0">
        <w:rPr>
          <w:rFonts w:ascii="Times New Roman" w:hAnsi="Times New Roman"/>
          <w:sz w:val="28"/>
          <w:szCs w:val="28"/>
        </w:rPr>
        <w:br/>
        <w:t>постановою Кабінету Міністрів України</w:t>
      </w:r>
      <w:r w:rsidRPr="00054CA0">
        <w:rPr>
          <w:rFonts w:ascii="Times New Roman" w:hAnsi="Times New Roman"/>
          <w:sz w:val="28"/>
          <w:szCs w:val="28"/>
        </w:rPr>
        <w:br/>
        <w:t>від</w:t>
      </w:r>
      <w:r w:rsidRPr="00054CA0">
        <w:rPr>
          <w:rFonts w:ascii="Times New Roman" w:hAnsi="Times New Roman"/>
          <w:sz w:val="28"/>
          <w:szCs w:val="28"/>
        </w:rPr>
        <w:tab/>
      </w:r>
      <w:r w:rsidRPr="00054CA0">
        <w:rPr>
          <w:rFonts w:ascii="Times New Roman" w:hAnsi="Times New Roman"/>
          <w:sz w:val="28"/>
          <w:szCs w:val="28"/>
        </w:rPr>
        <w:tab/>
      </w:r>
      <w:r w:rsidRPr="00054CA0">
        <w:rPr>
          <w:rFonts w:ascii="Times New Roman" w:hAnsi="Times New Roman"/>
          <w:sz w:val="28"/>
          <w:szCs w:val="28"/>
        </w:rPr>
        <w:tab/>
      </w:r>
      <w:r w:rsidR="00A76845" w:rsidRPr="00054CA0">
        <w:rPr>
          <w:rFonts w:ascii="Times New Roman" w:hAnsi="Times New Roman"/>
          <w:sz w:val="28"/>
          <w:szCs w:val="28"/>
        </w:rPr>
        <w:t>2018</w:t>
      </w:r>
      <w:r w:rsidRPr="00054CA0">
        <w:rPr>
          <w:rFonts w:ascii="Times New Roman" w:hAnsi="Times New Roman"/>
          <w:sz w:val="28"/>
          <w:szCs w:val="28"/>
        </w:rPr>
        <w:t xml:space="preserve"> р. №</w:t>
      </w:r>
    </w:p>
    <w:p w:rsidR="00126D30" w:rsidRPr="00054CA0" w:rsidRDefault="00126D30" w:rsidP="00126D30">
      <w:pPr>
        <w:pStyle w:val="ac"/>
        <w:rPr>
          <w:rFonts w:ascii="Times New Roman" w:hAnsi="Times New Roman"/>
          <w:b w:val="0"/>
          <w:sz w:val="28"/>
          <w:szCs w:val="28"/>
        </w:rPr>
      </w:pPr>
      <w:r w:rsidRPr="00054CA0">
        <w:rPr>
          <w:rFonts w:ascii="Times New Roman" w:hAnsi="Times New Roman"/>
          <w:b w:val="0"/>
          <w:sz w:val="28"/>
          <w:szCs w:val="28"/>
        </w:rPr>
        <w:t>ЗМІНИ,</w:t>
      </w:r>
      <w:r w:rsidRPr="00054CA0">
        <w:rPr>
          <w:rFonts w:ascii="Times New Roman" w:hAnsi="Times New Roman"/>
          <w:b w:val="0"/>
          <w:sz w:val="28"/>
          <w:szCs w:val="28"/>
        </w:rPr>
        <w:br/>
        <w:t>що вносяться до Положення про митні декларації</w:t>
      </w:r>
    </w:p>
    <w:p w:rsidR="007E27C2" w:rsidRPr="007E27C2" w:rsidRDefault="00126D30" w:rsidP="007E27C2">
      <w:pPr>
        <w:pStyle w:val="a4"/>
        <w:jc w:val="both"/>
        <w:rPr>
          <w:rFonts w:ascii="Times New Roman" w:hAnsi="Times New Roman"/>
          <w:sz w:val="28"/>
          <w:szCs w:val="28"/>
        </w:rPr>
      </w:pPr>
      <w:r w:rsidRPr="00054CA0">
        <w:rPr>
          <w:rFonts w:ascii="Times New Roman" w:hAnsi="Times New Roman"/>
          <w:sz w:val="28"/>
          <w:szCs w:val="28"/>
        </w:rPr>
        <w:t>1. </w:t>
      </w:r>
      <w:r w:rsidR="007E27C2" w:rsidRPr="007E27C2">
        <w:rPr>
          <w:rFonts w:ascii="Times New Roman" w:hAnsi="Times New Roman"/>
          <w:sz w:val="28"/>
          <w:szCs w:val="28"/>
        </w:rPr>
        <w:t>Доповнити пункт 26 після абзацу шостого новим абзацом такого змісту:</w:t>
      </w:r>
    </w:p>
    <w:p w:rsidR="007E27C2" w:rsidRPr="008B2C4C" w:rsidRDefault="007E27C2" w:rsidP="008B2C4C">
      <w:pPr>
        <w:widowControl w:val="0"/>
        <w:ind w:firstLine="318"/>
        <w:jc w:val="both"/>
        <w:rPr>
          <w:rFonts w:ascii="Times New Roman" w:hAnsi="Times New Roman"/>
          <w:sz w:val="28"/>
          <w:szCs w:val="28"/>
        </w:rPr>
      </w:pPr>
      <w:r w:rsidRPr="008B2C4C">
        <w:rPr>
          <w:rFonts w:ascii="Times New Roman" w:hAnsi="Times New Roman"/>
          <w:sz w:val="28"/>
          <w:szCs w:val="28"/>
        </w:rPr>
        <w:t>«</w:t>
      </w:r>
      <w:r w:rsidR="008B2C4C" w:rsidRPr="008B2C4C">
        <w:rPr>
          <w:rFonts w:ascii="Times New Roman" w:hAnsi="Times New Roman"/>
          <w:sz w:val="28"/>
          <w:szCs w:val="28"/>
        </w:rPr>
        <w:t>У випадку, коли при ввезенні товарів трубопровідним транспортом або лініями електропередачі у тому числі з метою транзиту місця митного контролю товарів розташовані на тимчасово окупованій території України або на території суміжної держави, якщо у подальшому здійснюється переміщення товару трубопроводом або лінією електропередачі на тимчасово окуповану територію України, та сторони зовнішньоекономічного договору не підписують актів прийому-передачі товарів у зв’язку з тим, що частина товарів була переміщена на тимчасово окуповану територію України, допускається оформлення додаткових декларацій тільки на кількість товарів, переміщених на територію України, підконтрольну органам державної влади, без надання таких актів та на підставі довідки перевізника, яка підтверджує таку кількість</w:t>
      </w:r>
      <w:r w:rsidRPr="008B2C4C">
        <w:rPr>
          <w:rFonts w:ascii="Times New Roman" w:hAnsi="Times New Roman"/>
          <w:sz w:val="28"/>
          <w:szCs w:val="28"/>
        </w:rPr>
        <w:t>.».</w:t>
      </w:r>
    </w:p>
    <w:p w:rsidR="001C4269" w:rsidRDefault="001C4269" w:rsidP="001C4269">
      <w:pPr>
        <w:pStyle w:val="a4"/>
        <w:jc w:val="both"/>
        <w:rPr>
          <w:rFonts w:ascii="Times New Roman" w:hAnsi="Times New Roman"/>
          <w:sz w:val="28"/>
          <w:szCs w:val="28"/>
        </w:rPr>
      </w:pPr>
      <w:r w:rsidRPr="00054CA0">
        <w:rPr>
          <w:rFonts w:ascii="Times New Roman" w:hAnsi="Times New Roman"/>
          <w:sz w:val="28"/>
          <w:szCs w:val="28"/>
        </w:rPr>
        <w:t xml:space="preserve">У зв’язку з цим абзац </w:t>
      </w:r>
      <w:r>
        <w:rPr>
          <w:rFonts w:ascii="Times New Roman" w:hAnsi="Times New Roman"/>
          <w:sz w:val="28"/>
          <w:szCs w:val="28"/>
        </w:rPr>
        <w:t>сьомий</w:t>
      </w:r>
      <w:r w:rsidRPr="00054CA0">
        <w:rPr>
          <w:rFonts w:ascii="Times New Roman" w:hAnsi="Times New Roman"/>
          <w:sz w:val="28"/>
          <w:szCs w:val="28"/>
        </w:rPr>
        <w:t xml:space="preserve"> вважати абзацом </w:t>
      </w:r>
      <w:r>
        <w:rPr>
          <w:rFonts w:ascii="Times New Roman" w:hAnsi="Times New Roman"/>
          <w:sz w:val="28"/>
          <w:szCs w:val="28"/>
        </w:rPr>
        <w:t>восьмим.</w:t>
      </w:r>
    </w:p>
    <w:p w:rsidR="00217C20" w:rsidRPr="00054CA0" w:rsidRDefault="00C1182E" w:rsidP="00217C20">
      <w:pPr>
        <w:pStyle w:val="a4"/>
        <w:jc w:val="both"/>
        <w:rPr>
          <w:rFonts w:ascii="Times New Roman" w:hAnsi="Times New Roman"/>
          <w:sz w:val="28"/>
          <w:szCs w:val="28"/>
        </w:rPr>
      </w:pPr>
      <w:r>
        <w:rPr>
          <w:rFonts w:ascii="Times New Roman" w:hAnsi="Times New Roman"/>
          <w:sz w:val="28"/>
          <w:szCs w:val="28"/>
        </w:rPr>
        <w:t>2</w:t>
      </w:r>
      <w:r w:rsidR="00982B48">
        <w:rPr>
          <w:rFonts w:ascii="Times New Roman" w:hAnsi="Times New Roman"/>
          <w:sz w:val="28"/>
          <w:szCs w:val="28"/>
        </w:rPr>
        <w:t xml:space="preserve">. </w:t>
      </w:r>
      <w:r w:rsidR="00217C20" w:rsidRPr="00054CA0">
        <w:rPr>
          <w:rFonts w:ascii="Times New Roman" w:hAnsi="Times New Roman"/>
          <w:sz w:val="28"/>
          <w:szCs w:val="28"/>
        </w:rPr>
        <w:t>Абзац сьомий пункту</w:t>
      </w:r>
      <w:r w:rsidR="00217C20">
        <w:rPr>
          <w:rFonts w:ascii="Times New Roman" w:hAnsi="Times New Roman"/>
          <w:sz w:val="28"/>
          <w:szCs w:val="28"/>
        </w:rPr>
        <w:t xml:space="preserve"> 29</w:t>
      </w:r>
      <w:r w:rsidR="00217C20" w:rsidRPr="00054CA0">
        <w:rPr>
          <w:rFonts w:ascii="Times New Roman" w:hAnsi="Times New Roman"/>
          <w:sz w:val="28"/>
          <w:szCs w:val="28"/>
        </w:rPr>
        <w:t xml:space="preserve"> замінити абзацами такого змісту:</w:t>
      </w:r>
    </w:p>
    <w:p w:rsidR="00217C20" w:rsidRPr="00217C20" w:rsidRDefault="00217C20" w:rsidP="00217C20">
      <w:pPr>
        <w:pStyle w:val="a4"/>
        <w:jc w:val="both"/>
        <w:rPr>
          <w:rFonts w:ascii="Times New Roman" w:hAnsi="Times New Roman"/>
          <w:sz w:val="28"/>
          <w:szCs w:val="28"/>
        </w:rPr>
      </w:pPr>
      <w:r>
        <w:rPr>
          <w:rFonts w:ascii="Times New Roman" w:hAnsi="Times New Roman"/>
          <w:sz w:val="28"/>
          <w:szCs w:val="28"/>
        </w:rPr>
        <w:t>«</w:t>
      </w:r>
      <w:r w:rsidRPr="00217C20">
        <w:rPr>
          <w:rFonts w:ascii="Times New Roman" w:hAnsi="Times New Roman"/>
          <w:sz w:val="28"/>
          <w:szCs w:val="28"/>
        </w:rPr>
        <w:t xml:space="preserve">Оформлення органом доходів і зборів тимчасової митної декларації здійснюється у разі, коли сума митних платежів, нарахована декларантом згідно з частиною першою статті 295 Кодексу, не є меншою, ніж сума митних платежів, що визначається органом доходів і зборів відповідно до частини другої статті 308 Кодексу. </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При декларуванні товарів з використанням тимчасової митної декларації розмір суми митних платежів, які підлягають сплаті або забезпеченню їх сплати, визначаються органом доходів і зборів відповідно до статті 308 Кодексу на підставі наявних відомостей, якщо:</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декларантом не надаються органу доходів і зборів точні відомості про характер, найменування, кількість, країну походження, митну вартість та код таких товарів згідно з УКТ ЗЕД, унаслідок чого неможливо точно визначити суму митних платежів, що підлягають сплаті;</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в рамках процедур митного контролю та оформлення товарів, ввезених на митну територію України, за поданою митною декларацією на бланку єдиного адміністративного документа органом доходів і зборів відбиралися проби (зразки) товарів та не визнано заявлену декларантом митну вартість товарів.</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 xml:space="preserve">У разі прийняття органом доходів і зборів рішення про відмову у митному оформленні через невиконання декларантом умов, визначених </w:t>
      </w:r>
      <w:r w:rsidRPr="00217C20">
        <w:rPr>
          <w:rFonts w:ascii="Times New Roman" w:hAnsi="Times New Roman"/>
          <w:sz w:val="28"/>
          <w:szCs w:val="28"/>
        </w:rPr>
        <w:lastRenderedPageBreak/>
        <w:t>частиною десятою статті 260 або частиною двадцять першою статті 356 Кодексу щодо сплати митних платежів або забезпечення їх сплати відповідно до розділу X Кодексу,  орган доходів і зборів зазначає причини відмови, в тому числі розрахунок розміру фінансової гарантії відповідно до статті 308 Кодексу, та наводить вичерпні роз’яснення вимог, виконання яких забезпечує можливість митного оформлення товарів.</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У такому випадку за бажанням декларанта випуск товарів за тимчасовою митною декларацією здійснюється за умови:</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сплати суми митних платежів у розмірі фінансової гарантії, визначеної органом доходів і зборів відповідно до статті 308 Кодексу (якщо виконання вимог Кодексу, передбачених для поміщення товарів в обраний митний режим, передбачає необхідність сплати митних платежів);</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забезпечення сплати суми митних платежів у розмірі визначеної органом доходів і зборів відповідно до статті 308 Кодексу фінансової гарантії (якщо виконання вимог Кодексу, передбачених для поміщення товарів в обраний митний режим, передбачає необхідність забезпечення сплати митних платежів).</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Тимчасова митна декларація підтв</w:t>
      </w:r>
      <w:r>
        <w:rPr>
          <w:rFonts w:ascii="Times New Roman" w:hAnsi="Times New Roman"/>
          <w:sz w:val="28"/>
          <w:szCs w:val="28"/>
        </w:rPr>
        <w:t>ерджує взяття декларантом зобов</w:t>
      </w:r>
      <w:r w:rsidRPr="00217C20">
        <w:rPr>
          <w:rFonts w:ascii="Times New Roman" w:hAnsi="Times New Roman"/>
          <w:sz w:val="28"/>
          <w:szCs w:val="28"/>
        </w:rPr>
        <w:t xml:space="preserve">’язання подати митному органу додаткову декларацію у строк не більше 45 днів з дати оформлення тимчасової митної декларації. </w:t>
      </w:r>
    </w:p>
    <w:p w:rsidR="00217C20"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Нарахування декларантом суми митних платежів за додатковою декларацією здійснюється на підставі точних відомостей про товари.</w:t>
      </w:r>
    </w:p>
    <w:p w:rsidR="00A84E1B" w:rsidRPr="00217C20" w:rsidRDefault="00217C20" w:rsidP="00217C20">
      <w:pPr>
        <w:pStyle w:val="a4"/>
        <w:jc w:val="both"/>
        <w:rPr>
          <w:rFonts w:ascii="Times New Roman" w:hAnsi="Times New Roman"/>
          <w:sz w:val="28"/>
          <w:szCs w:val="28"/>
        </w:rPr>
      </w:pPr>
      <w:r w:rsidRPr="00217C20">
        <w:rPr>
          <w:rFonts w:ascii="Times New Roman" w:hAnsi="Times New Roman"/>
          <w:sz w:val="28"/>
          <w:szCs w:val="28"/>
        </w:rPr>
        <w:t>Оформлена додаткова декларація, яка містить точні відомості про товари, задекларовані за тимчасовою митною декларацією, підтверджує завершення митних формальностей та виконання у повному обсязі взятих декларантом зобов’язань щодо подання додаткової декларації.</w:t>
      </w:r>
      <w:r>
        <w:rPr>
          <w:rFonts w:ascii="Times New Roman" w:hAnsi="Times New Roman"/>
          <w:sz w:val="28"/>
          <w:szCs w:val="28"/>
        </w:rPr>
        <w:t>».</w:t>
      </w:r>
    </w:p>
    <w:p w:rsidR="008135AD" w:rsidRPr="007E27C2" w:rsidRDefault="00C1182E" w:rsidP="008135AD">
      <w:pPr>
        <w:pStyle w:val="a4"/>
        <w:jc w:val="both"/>
        <w:rPr>
          <w:rFonts w:ascii="Times New Roman" w:hAnsi="Times New Roman"/>
          <w:sz w:val="28"/>
          <w:szCs w:val="28"/>
        </w:rPr>
      </w:pPr>
      <w:r>
        <w:rPr>
          <w:rFonts w:ascii="Times New Roman" w:hAnsi="Times New Roman"/>
          <w:sz w:val="28"/>
          <w:szCs w:val="28"/>
        </w:rPr>
        <w:t>3</w:t>
      </w:r>
      <w:r w:rsidR="008135AD">
        <w:rPr>
          <w:rFonts w:ascii="Times New Roman" w:hAnsi="Times New Roman"/>
          <w:sz w:val="28"/>
          <w:szCs w:val="28"/>
        </w:rPr>
        <w:t xml:space="preserve">. </w:t>
      </w:r>
      <w:r w:rsidR="008135AD" w:rsidRPr="007E27C2">
        <w:rPr>
          <w:rFonts w:ascii="Times New Roman" w:hAnsi="Times New Roman"/>
          <w:sz w:val="28"/>
          <w:szCs w:val="28"/>
        </w:rPr>
        <w:t xml:space="preserve">Доповнити пункт </w:t>
      </w:r>
      <w:r w:rsidR="008135AD">
        <w:rPr>
          <w:rFonts w:ascii="Times New Roman" w:hAnsi="Times New Roman"/>
          <w:sz w:val="28"/>
          <w:szCs w:val="28"/>
        </w:rPr>
        <w:t>37</w:t>
      </w:r>
      <w:r w:rsidR="008135AD" w:rsidRPr="007E27C2">
        <w:rPr>
          <w:rFonts w:ascii="Times New Roman" w:hAnsi="Times New Roman"/>
          <w:sz w:val="28"/>
          <w:szCs w:val="28"/>
        </w:rPr>
        <w:t xml:space="preserve"> після абзацу </w:t>
      </w:r>
      <w:r w:rsidR="00E60B19">
        <w:rPr>
          <w:rFonts w:ascii="Times New Roman" w:hAnsi="Times New Roman"/>
          <w:sz w:val="28"/>
          <w:szCs w:val="28"/>
        </w:rPr>
        <w:t>першого</w:t>
      </w:r>
      <w:r w:rsidR="008135AD" w:rsidRPr="007E27C2">
        <w:rPr>
          <w:rFonts w:ascii="Times New Roman" w:hAnsi="Times New Roman"/>
          <w:sz w:val="28"/>
          <w:szCs w:val="28"/>
        </w:rPr>
        <w:t xml:space="preserve"> новим абзацом такого змісту:</w:t>
      </w:r>
    </w:p>
    <w:p w:rsidR="008135AD" w:rsidRPr="008135AD" w:rsidRDefault="008135AD" w:rsidP="008135AD">
      <w:pPr>
        <w:widowControl w:val="0"/>
        <w:spacing w:before="120" w:after="120"/>
        <w:ind w:firstLine="567"/>
        <w:jc w:val="both"/>
        <w:rPr>
          <w:rFonts w:ascii="Times New Roman" w:hAnsi="Times New Roman"/>
          <w:sz w:val="28"/>
          <w:szCs w:val="28"/>
        </w:rPr>
      </w:pPr>
      <w:r>
        <w:rPr>
          <w:rFonts w:ascii="Times New Roman" w:hAnsi="Times New Roman"/>
          <w:sz w:val="28"/>
          <w:szCs w:val="28"/>
        </w:rPr>
        <w:t>«</w:t>
      </w:r>
      <w:r w:rsidRPr="008135AD">
        <w:rPr>
          <w:rFonts w:ascii="Times New Roman" w:hAnsi="Times New Roman"/>
          <w:sz w:val="28"/>
          <w:szCs w:val="28"/>
        </w:rPr>
        <w:t>подання з метою сплати митних платежів у випадках, передбачених  міжнародними договорами України, згода на обов’язковість яких надана Верховною Радою України, декларантом або уповноваженою ним особою додаткової декларації та оформлення її митним органом</w:t>
      </w:r>
      <w:r>
        <w:rPr>
          <w:rFonts w:ascii="Times New Roman" w:hAnsi="Times New Roman"/>
          <w:sz w:val="28"/>
          <w:szCs w:val="28"/>
        </w:rPr>
        <w:t>.».</w:t>
      </w:r>
    </w:p>
    <w:p w:rsidR="00DB26BA" w:rsidRPr="00054CA0" w:rsidRDefault="00DB26BA" w:rsidP="00DB26BA">
      <w:pPr>
        <w:pStyle w:val="a4"/>
        <w:jc w:val="both"/>
        <w:rPr>
          <w:rFonts w:ascii="Times New Roman" w:hAnsi="Times New Roman"/>
          <w:sz w:val="28"/>
          <w:szCs w:val="28"/>
        </w:rPr>
      </w:pPr>
      <w:r w:rsidRPr="00054CA0">
        <w:rPr>
          <w:rFonts w:ascii="Times New Roman" w:hAnsi="Times New Roman"/>
          <w:sz w:val="28"/>
          <w:szCs w:val="28"/>
        </w:rPr>
        <w:t xml:space="preserve">У зв’язку з цим абзаци </w:t>
      </w:r>
      <w:r w:rsidR="00E60B19">
        <w:rPr>
          <w:rFonts w:ascii="Times New Roman" w:hAnsi="Times New Roman"/>
          <w:sz w:val="28"/>
          <w:szCs w:val="28"/>
        </w:rPr>
        <w:t>другий</w:t>
      </w:r>
      <w:r w:rsidR="008135AD">
        <w:rPr>
          <w:rFonts w:ascii="Times New Roman" w:hAnsi="Times New Roman"/>
          <w:sz w:val="28"/>
          <w:szCs w:val="28"/>
        </w:rPr>
        <w:t xml:space="preserve"> – дванадцятий</w:t>
      </w:r>
      <w:r w:rsidRPr="00054CA0">
        <w:rPr>
          <w:rFonts w:ascii="Times New Roman" w:hAnsi="Times New Roman"/>
          <w:sz w:val="28"/>
          <w:szCs w:val="28"/>
        </w:rPr>
        <w:t xml:space="preserve"> вважати </w:t>
      </w:r>
      <w:r w:rsidR="00050FCC" w:rsidRPr="00054CA0">
        <w:rPr>
          <w:rFonts w:ascii="Times New Roman" w:hAnsi="Times New Roman"/>
          <w:sz w:val="28"/>
          <w:szCs w:val="28"/>
        </w:rPr>
        <w:t xml:space="preserve">відповідно </w:t>
      </w:r>
      <w:r w:rsidRPr="00054CA0">
        <w:rPr>
          <w:rFonts w:ascii="Times New Roman" w:hAnsi="Times New Roman"/>
          <w:sz w:val="28"/>
          <w:szCs w:val="28"/>
        </w:rPr>
        <w:t xml:space="preserve">абзацами </w:t>
      </w:r>
      <w:r w:rsidR="00E60B19">
        <w:rPr>
          <w:rFonts w:ascii="Times New Roman" w:hAnsi="Times New Roman"/>
          <w:sz w:val="28"/>
          <w:szCs w:val="28"/>
        </w:rPr>
        <w:t>третім</w:t>
      </w:r>
      <w:r w:rsidRPr="00054CA0">
        <w:rPr>
          <w:rFonts w:ascii="Times New Roman" w:hAnsi="Times New Roman"/>
          <w:sz w:val="28"/>
          <w:szCs w:val="28"/>
        </w:rPr>
        <w:t xml:space="preserve"> </w:t>
      </w:r>
      <w:r w:rsidR="008135AD">
        <w:rPr>
          <w:rFonts w:ascii="Times New Roman" w:hAnsi="Times New Roman"/>
          <w:sz w:val="28"/>
          <w:szCs w:val="28"/>
        </w:rPr>
        <w:t>–</w:t>
      </w:r>
      <w:r w:rsidRPr="00054CA0">
        <w:rPr>
          <w:rFonts w:ascii="Times New Roman" w:hAnsi="Times New Roman"/>
          <w:sz w:val="28"/>
          <w:szCs w:val="28"/>
        </w:rPr>
        <w:t xml:space="preserve"> </w:t>
      </w:r>
      <w:r w:rsidR="008135AD">
        <w:rPr>
          <w:rFonts w:ascii="Times New Roman" w:hAnsi="Times New Roman"/>
          <w:sz w:val="28"/>
          <w:szCs w:val="28"/>
        </w:rPr>
        <w:t>тринад</w:t>
      </w:r>
      <w:r w:rsidRPr="00054CA0">
        <w:rPr>
          <w:rFonts w:ascii="Times New Roman" w:hAnsi="Times New Roman"/>
          <w:sz w:val="28"/>
          <w:szCs w:val="28"/>
        </w:rPr>
        <w:t>цятим.</w:t>
      </w:r>
    </w:p>
    <w:p w:rsidR="00DC64C3" w:rsidRPr="00054CA0" w:rsidRDefault="00210F96" w:rsidP="00DC64C3">
      <w:pPr>
        <w:pStyle w:val="3"/>
        <w:spacing w:before="480"/>
        <w:ind w:left="0"/>
        <w:jc w:val="center"/>
        <w:rPr>
          <w:rFonts w:ascii="Times New Roman" w:hAnsi="Times New Roman"/>
          <w:b w:val="0"/>
          <w:i w:val="0"/>
          <w:sz w:val="28"/>
          <w:szCs w:val="28"/>
        </w:rPr>
      </w:pPr>
      <w:r w:rsidRPr="00054CA0">
        <w:rPr>
          <w:rFonts w:ascii="Times New Roman" w:hAnsi="Times New Roman"/>
          <w:b w:val="0"/>
          <w:i w:val="0"/>
          <w:sz w:val="28"/>
          <w:szCs w:val="28"/>
        </w:rPr>
        <w:t>_____________________</w:t>
      </w:r>
    </w:p>
    <w:sectPr w:rsidR="00DC64C3" w:rsidRPr="00054CA0" w:rsidSect="007E27C2">
      <w:headerReference w:type="even" r:id="rId7"/>
      <w:headerReference w:type="default" r:id="rId8"/>
      <w:pgSz w:w="11906" w:h="16838" w:code="9"/>
      <w:pgMar w:top="1134" w:right="70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40" w:rsidRDefault="00A54640">
      <w:r>
        <w:separator/>
      </w:r>
    </w:p>
  </w:endnote>
  <w:endnote w:type="continuationSeparator" w:id="0">
    <w:p w:rsidR="00A54640" w:rsidRDefault="00A5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40" w:rsidRDefault="00A54640">
      <w:r>
        <w:separator/>
      </w:r>
    </w:p>
  </w:footnote>
  <w:footnote w:type="continuationSeparator" w:id="0">
    <w:p w:rsidR="00A54640" w:rsidRDefault="00A5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20" w:rsidRDefault="00217C20">
    <w:pPr>
      <w:framePr w:wrap="around" w:vAnchor="text" w:hAnchor="margin" w:xAlign="center" w:y="1"/>
    </w:pPr>
    <w:r>
      <w:fldChar w:fldCharType="begin"/>
    </w:r>
    <w:r>
      <w:instrText xml:space="preserve">PAGE  </w:instrText>
    </w:r>
    <w:r>
      <w:fldChar w:fldCharType="separate"/>
    </w:r>
    <w:r>
      <w:rPr>
        <w:noProof/>
      </w:rPr>
      <w:t>1</w:t>
    </w:r>
    <w:r>
      <w:fldChar w:fldCharType="end"/>
    </w:r>
  </w:p>
  <w:p w:rsidR="00217C20" w:rsidRDefault="00217C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20" w:rsidRDefault="00217C20">
    <w:pPr>
      <w:framePr w:wrap="around" w:vAnchor="text" w:hAnchor="margin" w:xAlign="center" w:y="1"/>
    </w:pPr>
    <w:r>
      <w:fldChar w:fldCharType="begin"/>
    </w:r>
    <w:r>
      <w:instrText xml:space="preserve">PAGE  </w:instrText>
    </w:r>
    <w:r>
      <w:fldChar w:fldCharType="separate"/>
    </w:r>
    <w:r w:rsidR="009921D4">
      <w:rPr>
        <w:noProof/>
      </w:rPr>
      <w:t>2</w:t>
    </w:r>
    <w:r>
      <w:fldChar w:fldCharType="end"/>
    </w:r>
  </w:p>
  <w:p w:rsidR="00217C20" w:rsidRDefault="00217C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1714"/>
    <w:rsid w:val="00014E38"/>
    <w:rsid w:val="00044182"/>
    <w:rsid w:val="00050FCC"/>
    <w:rsid w:val="00054CA0"/>
    <w:rsid w:val="00076409"/>
    <w:rsid w:val="00086991"/>
    <w:rsid w:val="000A5D46"/>
    <w:rsid w:val="000B7667"/>
    <w:rsid w:val="00126D30"/>
    <w:rsid w:val="00137898"/>
    <w:rsid w:val="00150B8B"/>
    <w:rsid w:val="00150BE6"/>
    <w:rsid w:val="001A5FC5"/>
    <w:rsid w:val="001C4269"/>
    <w:rsid w:val="00210F96"/>
    <w:rsid w:val="00217C20"/>
    <w:rsid w:val="002271A3"/>
    <w:rsid w:val="002573DD"/>
    <w:rsid w:val="00285DE5"/>
    <w:rsid w:val="002F5B73"/>
    <w:rsid w:val="003632E2"/>
    <w:rsid w:val="0038399F"/>
    <w:rsid w:val="00390AFC"/>
    <w:rsid w:val="003C4A75"/>
    <w:rsid w:val="003E5B52"/>
    <w:rsid w:val="003E7215"/>
    <w:rsid w:val="00411634"/>
    <w:rsid w:val="00417CCF"/>
    <w:rsid w:val="00465CAC"/>
    <w:rsid w:val="00532A2E"/>
    <w:rsid w:val="005353B8"/>
    <w:rsid w:val="00561FF0"/>
    <w:rsid w:val="00581A82"/>
    <w:rsid w:val="00742CF1"/>
    <w:rsid w:val="00752B48"/>
    <w:rsid w:val="00787A03"/>
    <w:rsid w:val="007E27C2"/>
    <w:rsid w:val="00806369"/>
    <w:rsid w:val="00807294"/>
    <w:rsid w:val="008135AD"/>
    <w:rsid w:val="008A34BD"/>
    <w:rsid w:val="008B2C4C"/>
    <w:rsid w:val="008B5D26"/>
    <w:rsid w:val="008D17F6"/>
    <w:rsid w:val="008E79B5"/>
    <w:rsid w:val="0092676E"/>
    <w:rsid w:val="00973EA5"/>
    <w:rsid w:val="00982B48"/>
    <w:rsid w:val="009921D4"/>
    <w:rsid w:val="009B3AB1"/>
    <w:rsid w:val="009B5A23"/>
    <w:rsid w:val="009C743D"/>
    <w:rsid w:val="009F16EF"/>
    <w:rsid w:val="00A14305"/>
    <w:rsid w:val="00A54640"/>
    <w:rsid w:val="00A76845"/>
    <w:rsid w:val="00A84E1B"/>
    <w:rsid w:val="00A9051C"/>
    <w:rsid w:val="00B70B74"/>
    <w:rsid w:val="00BB1E08"/>
    <w:rsid w:val="00BE71AF"/>
    <w:rsid w:val="00C1182E"/>
    <w:rsid w:val="00C23F47"/>
    <w:rsid w:val="00C407F2"/>
    <w:rsid w:val="00CD162B"/>
    <w:rsid w:val="00CF21F5"/>
    <w:rsid w:val="00D13666"/>
    <w:rsid w:val="00D144B6"/>
    <w:rsid w:val="00D9698B"/>
    <w:rsid w:val="00DB26BA"/>
    <w:rsid w:val="00DC64C3"/>
    <w:rsid w:val="00DE6625"/>
    <w:rsid w:val="00E518B9"/>
    <w:rsid w:val="00E60B19"/>
    <w:rsid w:val="00EC4D0E"/>
    <w:rsid w:val="00F22733"/>
    <w:rsid w:val="00F76AD6"/>
    <w:rsid w:val="00FE2C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d">
    <w:name w:val="Normal (Web)"/>
    <w:basedOn w:val="a"/>
    <w:uiPriority w:val="99"/>
    <w:unhideWhenUsed/>
    <w:rsid w:val="00982B48"/>
    <w:pPr>
      <w:spacing w:before="100" w:beforeAutospacing="1" w:after="100" w:afterAutospacing="1"/>
    </w:pPr>
    <w:rPr>
      <w:rFonts w:ascii="Times New Roman" w:hAnsi="Times New Roman"/>
      <w:sz w:val="24"/>
      <w:szCs w:val="24"/>
      <w:lang w:eastAsia="uk-UA"/>
    </w:rPr>
  </w:style>
  <w:style w:type="character" w:styleId="ae">
    <w:name w:val="annotation reference"/>
    <w:uiPriority w:val="99"/>
    <w:semiHidden/>
    <w:unhideWhenUsed/>
    <w:rsid w:val="00217C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d">
    <w:name w:val="Normal (Web)"/>
    <w:basedOn w:val="a"/>
    <w:uiPriority w:val="99"/>
    <w:unhideWhenUsed/>
    <w:rsid w:val="00982B48"/>
    <w:pPr>
      <w:spacing w:before="100" w:beforeAutospacing="1" w:after="100" w:afterAutospacing="1"/>
    </w:pPr>
    <w:rPr>
      <w:rFonts w:ascii="Times New Roman" w:hAnsi="Times New Roman"/>
      <w:sz w:val="24"/>
      <w:szCs w:val="24"/>
      <w:lang w:eastAsia="uk-UA"/>
    </w:rPr>
  </w:style>
  <w:style w:type="character" w:styleId="ae">
    <w:name w:val="annotation reference"/>
    <w:uiPriority w:val="99"/>
    <w:semiHidden/>
    <w:unhideWhenUsed/>
    <w:rsid w:val="00217C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2837</Words>
  <Characters>1618</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cp:revision>
  <cp:lastPrinted>2002-04-19T13:13:00Z</cp:lastPrinted>
  <dcterms:created xsi:type="dcterms:W3CDTF">2018-09-28T11:30:00Z</dcterms:created>
  <dcterms:modified xsi:type="dcterms:W3CDTF">2018-09-28T11:30:00Z</dcterms:modified>
</cp:coreProperties>
</file>