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38" w:rsidRPr="00CF2293" w:rsidRDefault="004A775F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D7D08">
        <w:rPr>
          <w:sz w:val="28"/>
          <w:szCs w:val="28"/>
        </w:rPr>
        <w:t xml:space="preserve">   </w:t>
      </w:r>
      <w:r w:rsidR="009A4B38" w:rsidRPr="00CF2293">
        <w:rPr>
          <w:sz w:val="28"/>
          <w:szCs w:val="28"/>
          <w:lang w:val="uk-UA"/>
        </w:rPr>
        <w:t>АНАЛІЗ РЕГУЛЯТОРНОГО ВПЛИВУ</w:t>
      </w:r>
    </w:p>
    <w:p w:rsidR="009A4B38" w:rsidRDefault="009A4B38" w:rsidP="009A4B38">
      <w:pPr>
        <w:jc w:val="center"/>
        <w:rPr>
          <w:b/>
          <w:sz w:val="28"/>
          <w:szCs w:val="28"/>
          <w:lang w:val="uk-UA"/>
        </w:rPr>
      </w:pPr>
      <w:r w:rsidRPr="00CF2293">
        <w:rPr>
          <w:b/>
          <w:sz w:val="28"/>
          <w:szCs w:val="28"/>
          <w:lang w:val="uk-UA"/>
        </w:rPr>
        <w:t xml:space="preserve">проекту </w:t>
      </w:r>
      <w:r>
        <w:rPr>
          <w:b/>
          <w:sz w:val="28"/>
          <w:szCs w:val="28"/>
          <w:lang w:val="uk-UA"/>
        </w:rPr>
        <w:t xml:space="preserve">постанови  Кабінету Міністрів України  «Про внесення  змін  у додаток до постанови Кабінету Міністрів України </w:t>
      </w:r>
    </w:p>
    <w:p w:rsidR="009A4B38" w:rsidRPr="00B775AD" w:rsidRDefault="009A4B38" w:rsidP="009A4B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грудня 2006 р. № 1765»</w:t>
      </w:r>
    </w:p>
    <w:p w:rsidR="009A4B38" w:rsidRDefault="009A4B38" w:rsidP="009A4B38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  <w:lang w:val="uk-UA"/>
        </w:rPr>
      </w:pPr>
    </w:p>
    <w:p w:rsidR="009A4B38" w:rsidRDefault="009A4B38" w:rsidP="009947F7">
      <w:pPr>
        <w:pStyle w:val="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r w:rsidRPr="0039025A">
        <w:rPr>
          <w:sz w:val="28"/>
          <w:szCs w:val="28"/>
          <w:lang w:val="uk-UA"/>
        </w:rPr>
        <w:t>Визначення проблеми</w:t>
      </w:r>
    </w:p>
    <w:p w:rsidR="009A4B38" w:rsidRPr="00806B4C" w:rsidRDefault="009A4B38" w:rsidP="009A4B38">
      <w:pPr>
        <w:spacing w:before="120"/>
        <w:ind w:firstLine="709"/>
        <w:jc w:val="both"/>
        <w:rPr>
          <w:sz w:val="28"/>
          <w:szCs w:val="28"/>
          <w:lang w:val="uk-UA" w:eastAsia="ar-SA"/>
        </w:rPr>
      </w:pPr>
      <w:r w:rsidRPr="00806B4C">
        <w:rPr>
          <w:sz w:val="28"/>
          <w:szCs w:val="28"/>
          <w:lang w:val="uk-UA"/>
        </w:rPr>
        <w:t>Проект постанови Кабінету Міністрів України «</w:t>
      </w:r>
      <w:r w:rsidRPr="00806B4C">
        <w:rPr>
          <w:rFonts w:cs="Courier New"/>
          <w:sz w:val="28"/>
          <w:szCs w:val="28"/>
          <w:lang w:val="uk-UA"/>
        </w:rPr>
        <w:t>Про внесення змін у додаток до постанови Кабінету Міністрі</w:t>
      </w:r>
      <w:r w:rsidR="00A40465">
        <w:rPr>
          <w:rFonts w:cs="Courier New"/>
          <w:sz w:val="28"/>
          <w:szCs w:val="28"/>
          <w:lang w:val="uk-UA"/>
        </w:rPr>
        <w:t xml:space="preserve">в України від 20 грудня 2006 р. </w:t>
      </w:r>
      <w:r w:rsidRPr="00806B4C">
        <w:rPr>
          <w:rFonts w:cs="Courier New"/>
          <w:sz w:val="28"/>
          <w:szCs w:val="28"/>
          <w:lang w:val="uk-UA"/>
        </w:rPr>
        <w:t>№ 1765</w:t>
      </w:r>
      <w:r w:rsidRPr="00806B4C">
        <w:rPr>
          <w:sz w:val="28"/>
          <w:szCs w:val="28"/>
          <w:lang w:val="uk-UA"/>
        </w:rPr>
        <w:t xml:space="preserve">» (далі – проект постанови) розроблено відповідно </w:t>
      </w:r>
      <w:r w:rsidRPr="00806B4C">
        <w:rPr>
          <w:bCs/>
          <w:sz w:val="28"/>
          <w:szCs w:val="28"/>
          <w:lang w:val="uk-UA"/>
        </w:rPr>
        <w:t xml:space="preserve">до вимог додатка XV </w:t>
      </w:r>
      <w:r w:rsidRPr="00806B4C">
        <w:rPr>
          <w:sz w:val="28"/>
          <w:szCs w:val="28"/>
          <w:lang w:val="uk-UA"/>
        </w:rPr>
        <w:t xml:space="preserve">«Наближення митного законодавства» до </w:t>
      </w:r>
      <w:r w:rsidRPr="00806B4C">
        <w:rPr>
          <w:sz w:val="28"/>
          <w:szCs w:val="28"/>
          <w:lang w:val="uk-UA" w:eastAsia="ar-SA"/>
        </w:rPr>
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яка ратифікована Законом України від 16</w:t>
      </w:r>
      <w:r w:rsidR="009947F7">
        <w:rPr>
          <w:sz w:val="28"/>
          <w:szCs w:val="28"/>
          <w:lang w:val="uk-UA" w:eastAsia="ar-SA"/>
        </w:rPr>
        <w:t>.09.</w:t>
      </w:r>
      <w:r w:rsidRPr="00806B4C">
        <w:rPr>
          <w:sz w:val="28"/>
          <w:szCs w:val="28"/>
          <w:lang w:val="uk-UA" w:eastAsia="ar-SA"/>
        </w:rPr>
        <w:t xml:space="preserve">2014 № 1678-VII (далі </w:t>
      </w:r>
      <w:r w:rsidRPr="00806B4C">
        <w:rPr>
          <w:sz w:val="28"/>
          <w:szCs w:val="28"/>
          <w:lang w:val="uk-UA"/>
        </w:rPr>
        <w:t>–</w:t>
      </w:r>
      <w:r w:rsidRPr="00806B4C">
        <w:rPr>
          <w:sz w:val="28"/>
          <w:szCs w:val="28"/>
          <w:lang w:val="uk-UA" w:eastAsia="ar-SA"/>
        </w:rPr>
        <w:t xml:space="preserve"> Угода).</w:t>
      </w:r>
    </w:p>
    <w:p w:rsidR="009A4B38" w:rsidRPr="00806B4C" w:rsidRDefault="009A4B38" w:rsidP="009A4B38">
      <w:pPr>
        <w:pStyle w:val="Default"/>
        <w:ind w:firstLine="709"/>
        <w:jc w:val="both"/>
        <w:rPr>
          <w:color w:val="auto"/>
          <w:sz w:val="28"/>
          <w:szCs w:val="28"/>
          <w:lang w:val="uk-UA" w:eastAsia="ar-SA"/>
        </w:rPr>
      </w:pPr>
      <w:r w:rsidRPr="00806B4C">
        <w:rPr>
          <w:color w:val="auto"/>
          <w:sz w:val="28"/>
          <w:szCs w:val="28"/>
          <w:lang w:val="uk-UA" w:eastAsia="ar-SA"/>
        </w:rPr>
        <w:t xml:space="preserve">Україною в рамках Угоди взято зобов’язання </w:t>
      </w:r>
      <w:proofErr w:type="spellStart"/>
      <w:r w:rsidRPr="00806B4C">
        <w:rPr>
          <w:color w:val="auto"/>
          <w:sz w:val="28"/>
          <w:szCs w:val="28"/>
          <w:lang w:val="uk-UA" w:eastAsia="ar-SA"/>
        </w:rPr>
        <w:t>імплементувати</w:t>
      </w:r>
      <w:proofErr w:type="spellEnd"/>
      <w:r w:rsidRPr="00806B4C">
        <w:rPr>
          <w:color w:val="auto"/>
          <w:sz w:val="28"/>
          <w:szCs w:val="28"/>
          <w:lang w:val="uk-UA" w:eastAsia="ar-SA"/>
        </w:rPr>
        <w:t xml:space="preserve"> до законодавства України положення Митного кодексу Європейського Союзу, зокрема в частині визначення </w:t>
      </w:r>
      <w:proofErr w:type="spellStart"/>
      <w:r w:rsidRPr="00806B4C">
        <w:rPr>
          <w:color w:val="auto"/>
          <w:sz w:val="28"/>
          <w:szCs w:val="28"/>
          <w:lang w:val="uk-UA" w:eastAsia="ar-SA"/>
        </w:rPr>
        <w:t>непреференційного</w:t>
      </w:r>
      <w:proofErr w:type="spellEnd"/>
      <w:r w:rsidRPr="00806B4C">
        <w:rPr>
          <w:color w:val="auto"/>
          <w:sz w:val="28"/>
          <w:szCs w:val="28"/>
          <w:lang w:val="uk-UA" w:eastAsia="ar-SA"/>
        </w:rPr>
        <w:t xml:space="preserve"> походження п</w:t>
      </w:r>
      <w:r w:rsidR="00A40465">
        <w:rPr>
          <w:color w:val="auto"/>
          <w:sz w:val="28"/>
          <w:szCs w:val="28"/>
          <w:lang w:val="uk-UA" w:eastAsia="ar-SA"/>
        </w:rPr>
        <w:t>ри імпорті товарів (статті 22–</w:t>
      </w:r>
      <w:r w:rsidRPr="00806B4C">
        <w:rPr>
          <w:color w:val="auto"/>
          <w:sz w:val="28"/>
          <w:szCs w:val="28"/>
          <w:lang w:val="uk-UA" w:eastAsia="ar-SA"/>
        </w:rPr>
        <w:t>24, 26 Митного кодексу ЄС (Регламент (ЄЕС) від 12.10.1992 № 2913/92), пункт 2 Пояснювальної записки Додатка XV до Угоди).</w:t>
      </w:r>
    </w:p>
    <w:p w:rsidR="009A4B38" w:rsidRPr="00806B4C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806B4C">
        <w:rPr>
          <w:bCs/>
          <w:sz w:val="28"/>
          <w:szCs w:val="28"/>
          <w:lang w:val="uk-UA"/>
        </w:rPr>
        <w:t xml:space="preserve">Відповідно до пункту 6 статті 36 Митного </w:t>
      </w:r>
      <w:r w:rsidRPr="00806B4C">
        <w:rPr>
          <w:sz w:val="28"/>
          <w:szCs w:val="28"/>
          <w:lang w:val="uk-UA"/>
        </w:rPr>
        <w:t xml:space="preserve">кодексу України </w:t>
      </w:r>
      <w:r w:rsidR="00F340A1">
        <w:rPr>
          <w:sz w:val="28"/>
          <w:szCs w:val="28"/>
          <w:lang w:val="uk-UA"/>
        </w:rPr>
        <w:br/>
        <w:t xml:space="preserve">(далі – Кодекс) </w:t>
      </w:r>
      <w:r w:rsidRPr="00806B4C">
        <w:rPr>
          <w:sz w:val="28"/>
          <w:szCs w:val="28"/>
          <w:lang w:val="uk-UA"/>
        </w:rPr>
        <w:t>положення цього Кодексу застосовуються для визначення походження товарів, на які при ввезенні їх на митну територію України поширюється режим найбільшого сприяння (</w:t>
      </w:r>
      <w:proofErr w:type="spellStart"/>
      <w:r w:rsidRPr="00806B4C">
        <w:rPr>
          <w:sz w:val="28"/>
          <w:szCs w:val="28"/>
          <w:lang w:val="uk-UA"/>
        </w:rPr>
        <w:t>непреференційне</w:t>
      </w:r>
      <w:proofErr w:type="spellEnd"/>
      <w:r w:rsidRPr="00806B4C">
        <w:rPr>
          <w:sz w:val="28"/>
          <w:szCs w:val="28"/>
          <w:lang w:val="uk-UA"/>
        </w:rPr>
        <w:t xml:space="preserve"> походження), з метою застосування до таких товарів передбачених законом заходів тарифного та нетарифного регулювання зовнішньоекономічної діяльності.</w:t>
      </w:r>
    </w:p>
    <w:p w:rsidR="009A4B38" w:rsidRPr="00806B4C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806B4C">
        <w:rPr>
          <w:sz w:val="28"/>
          <w:szCs w:val="28"/>
          <w:lang w:val="uk-UA"/>
        </w:rPr>
        <w:t xml:space="preserve">Згідно з частиною третьою статті 40 Митного кодексу України для визначення </w:t>
      </w:r>
      <w:proofErr w:type="spellStart"/>
      <w:r w:rsidRPr="00806B4C">
        <w:rPr>
          <w:sz w:val="28"/>
          <w:szCs w:val="28"/>
          <w:lang w:val="uk-UA"/>
        </w:rPr>
        <w:t>непреференційного</w:t>
      </w:r>
      <w:proofErr w:type="spellEnd"/>
      <w:r w:rsidRPr="00806B4C">
        <w:rPr>
          <w:sz w:val="28"/>
          <w:szCs w:val="28"/>
          <w:lang w:val="uk-UA"/>
        </w:rPr>
        <w:t xml:space="preserve"> походження при імпорті для конкретних товарів встановлено критерії достатньої переробки та перелік виробничих і технологічних операцій, що затверджені постановою Кабінету Міністрів України від 20</w:t>
      </w:r>
      <w:r w:rsidR="009947F7">
        <w:rPr>
          <w:sz w:val="28"/>
          <w:szCs w:val="28"/>
          <w:lang w:val="uk-UA"/>
        </w:rPr>
        <w:t>.12.</w:t>
      </w:r>
      <w:r w:rsidRPr="00806B4C">
        <w:rPr>
          <w:sz w:val="28"/>
          <w:szCs w:val="28"/>
          <w:lang w:val="uk-UA"/>
        </w:rPr>
        <w:t>2006 № 1765 «Про порядок встановлення та застосування правила адвалерної частки та виконання виробничих і технологічних операцій» (далі – постанова № 1765).</w:t>
      </w:r>
    </w:p>
    <w:p w:rsidR="009A4B38" w:rsidRPr="00806B4C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806B4C">
        <w:rPr>
          <w:sz w:val="28"/>
          <w:szCs w:val="28"/>
          <w:lang w:val="uk-UA"/>
        </w:rPr>
        <w:t>В основу вказаного переліку покладено додатки 10 та 11 до розділу IV Митного кодексу Європейського Союзу (Регламенту Комісії (Є</w:t>
      </w:r>
      <w:r w:rsidR="00A40465">
        <w:rPr>
          <w:sz w:val="28"/>
          <w:szCs w:val="28"/>
          <w:lang w:val="uk-UA"/>
        </w:rPr>
        <w:t xml:space="preserve">ЕС) </w:t>
      </w:r>
      <w:r w:rsidR="00A40465">
        <w:rPr>
          <w:sz w:val="28"/>
          <w:szCs w:val="28"/>
          <w:lang w:val="uk-UA"/>
        </w:rPr>
        <w:br/>
      </w:r>
      <w:r w:rsidRPr="00806B4C">
        <w:rPr>
          <w:sz w:val="28"/>
          <w:szCs w:val="28"/>
          <w:lang w:val="uk-UA"/>
        </w:rPr>
        <w:t xml:space="preserve">від 02.07.1993 № 2454/93). </w:t>
      </w:r>
    </w:p>
    <w:p w:rsidR="009A4B38" w:rsidRPr="00806B4C" w:rsidRDefault="009947F7" w:rsidP="009A4B38">
      <w:pPr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Водночас з 01.05.</w:t>
      </w:r>
      <w:r w:rsidR="009A4B38" w:rsidRPr="00806B4C">
        <w:rPr>
          <w:sz w:val="28"/>
          <w:szCs w:val="28"/>
          <w:lang w:val="uk-UA" w:eastAsia="ar-SA"/>
        </w:rPr>
        <w:t xml:space="preserve">2016 набрав чинності новий Митний кодекс Європейського Союзу, затверджений Регламентом Європейського Парламенту та Ради від 09.10.2013 № 952/2013, опублікований в Офіційному віснику </w:t>
      </w:r>
      <w:r w:rsidR="00CF15E2" w:rsidRPr="00806B4C">
        <w:rPr>
          <w:sz w:val="28"/>
          <w:szCs w:val="28"/>
          <w:lang w:val="uk-UA"/>
        </w:rPr>
        <w:t>Європейського Союзу</w:t>
      </w:r>
      <w:r w:rsidR="009A4B38" w:rsidRPr="00DE2EC4">
        <w:rPr>
          <w:sz w:val="28"/>
          <w:szCs w:val="28"/>
          <w:lang w:eastAsia="ar-SA"/>
        </w:rPr>
        <w:t xml:space="preserve"> </w:t>
      </w:r>
      <w:r w:rsidR="009A4B38" w:rsidRPr="00806B4C">
        <w:rPr>
          <w:sz w:val="28"/>
          <w:szCs w:val="28"/>
          <w:lang w:val="uk-UA" w:eastAsia="ar-SA"/>
        </w:rPr>
        <w:t xml:space="preserve">від 10.10.2013 № 269.  </w:t>
      </w:r>
    </w:p>
    <w:p w:rsidR="009A4B38" w:rsidRDefault="00A40465" w:rsidP="009A4B38">
      <w:pPr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Статтями 59–</w:t>
      </w:r>
      <w:r w:rsidR="009A4B38" w:rsidRPr="00806B4C">
        <w:rPr>
          <w:sz w:val="28"/>
          <w:szCs w:val="28"/>
          <w:lang w:val="uk-UA" w:eastAsia="ar-SA"/>
        </w:rPr>
        <w:t xml:space="preserve">63 Митного кодексу </w:t>
      </w:r>
      <w:r w:rsidR="00CF15E2" w:rsidRPr="00806B4C">
        <w:rPr>
          <w:sz w:val="28"/>
          <w:szCs w:val="28"/>
          <w:lang w:val="uk-UA"/>
        </w:rPr>
        <w:t>Європейського Союзу</w:t>
      </w:r>
      <w:r w:rsidR="009A4B38" w:rsidRPr="00806B4C">
        <w:rPr>
          <w:sz w:val="28"/>
          <w:szCs w:val="28"/>
          <w:lang w:val="uk-UA" w:eastAsia="ar-SA"/>
        </w:rPr>
        <w:t xml:space="preserve"> регулюється порядок визначення </w:t>
      </w:r>
      <w:proofErr w:type="spellStart"/>
      <w:r w:rsidR="009A4B38" w:rsidRPr="00806B4C">
        <w:rPr>
          <w:sz w:val="28"/>
          <w:szCs w:val="28"/>
          <w:lang w:val="uk-UA" w:eastAsia="ar-SA"/>
        </w:rPr>
        <w:t>непреференційного</w:t>
      </w:r>
      <w:proofErr w:type="spellEnd"/>
      <w:r w:rsidR="009A4B38" w:rsidRPr="00806B4C">
        <w:rPr>
          <w:sz w:val="28"/>
          <w:szCs w:val="28"/>
          <w:lang w:val="uk-UA" w:eastAsia="ar-SA"/>
        </w:rPr>
        <w:t xml:space="preserve"> походження товарів. </w:t>
      </w:r>
    </w:p>
    <w:p w:rsidR="00C33F6F" w:rsidRPr="00A46598" w:rsidRDefault="00C33F6F" w:rsidP="009A4B3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У 2017 році було </w:t>
      </w:r>
      <w:r>
        <w:rPr>
          <w:sz w:val="28"/>
          <w:szCs w:val="28"/>
          <w:lang w:val="uk-UA"/>
        </w:rPr>
        <w:t>подано до митного оформлення</w:t>
      </w:r>
      <w:r w:rsidR="00CD79E8">
        <w:rPr>
          <w:sz w:val="28"/>
          <w:szCs w:val="28"/>
          <w:lang w:val="uk-UA"/>
        </w:rPr>
        <w:t xml:space="preserve"> більше 265 т</w:t>
      </w:r>
      <w:r w:rsidR="00960AC8">
        <w:rPr>
          <w:sz w:val="28"/>
          <w:szCs w:val="28"/>
          <w:lang w:val="uk-UA"/>
        </w:rPr>
        <w:t xml:space="preserve">ис. </w:t>
      </w:r>
      <w:r>
        <w:rPr>
          <w:sz w:val="28"/>
          <w:szCs w:val="28"/>
          <w:lang w:val="uk-UA"/>
        </w:rPr>
        <w:t xml:space="preserve">документів про походження товару </w:t>
      </w:r>
      <w:r w:rsidRPr="00E41E25">
        <w:rPr>
          <w:sz w:val="28"/>
          <w:szCs w:val="28"/>
          <w:lang w:val="uk-UA"/>
        </w:rPr>
        <w:t>для застосування режиму найбільшого сприяння</w:t>
      </w:r>
      <w:r>
        <w:rPr>
          <w:sz w:val="28"/>
          <w:szCs w:val="28"/>
          <w:lang w:val="uk-UA"/>
        </w:rPr>
        <w:t>. Направлено на перевірку</w:t>
      </w:r>
      <w:r w:rsidR="002C4AFB">
        <w:rPr>
          <w:sz w:val="28"/>
          <w:szCs w:val="28"/>
          <w:lang w:val="uk-UA"/>
        </w:rPr>
        <w:t xml:space="preserve"> до уповноважених органів зарубіжних  країн</w:t>
      </w:r>
      <w:r>
        <w:rPr>
          <w:sz w:val="28"/>
          <w:szCs w:val="28"/>
          <w:lang w:val="uk-UA"/>
        </w:rPr>
        <w:t xml:space="preserve"> </w:t>
      </w:r>
      <w:r w:rsidR="002C4AFB">
        <w:rPr>
          <w:sz w:val="28"/>
          <w:szCs w:val="28"/>
          <w:lang w:val="uk-UA"/>
        </w:rPr>
        <w:t xml:space="preserve">134 </w:t>
      </w:r>
      <w:proofErr w:type="spellStart"/>
      <w:r w:rsidR="002C4AFB">
        <w:rPr>
          <w:sz w:val="28"/>
          <w:szCs w:val="28"/>
          <w:lang w:val="uk-UA"/>
        </w:rPr>
        <w:t>непреференційних</w:t>
      </w:r>
      <w:proofErr w:type="spellEnd"/>
      <w:r w:rsidR="002C4AFB">
        <w:rPr>
          <w:sz w:val="28"/>
          <w:szCs w:val="28"/>
          <w:lang w:val="uk-UA"/>
        </w:rPr>
        <w:t xml:space="preserve"> </w:t>
      </w:r>
      <w:r w:rsidR="002C4AFB" w:rsidRPr="00A46598">
        <w:rPr>
          <w:sz w:val="28"/>
          <w:szCs w:val="28"/>
          <w:lang w:val="uk-UA"/>
        </w:rPr>
        <w:t>сертифікат</w:t>
      </w:r>
      <w:r w:rsidR="00A40465" w:rsidRPr="00A46598">
        <w:rPr>
          <w:sz w:val="28"/>
          <w:szCs w:val="28"/>
          <w:lang w:val="uk-UA"/>
        </w:rPr>
        <w:t>ів</w:t>
      </w:r>
      <w:r w:rsidR="002C4AFB" w:rsidRPr="00A46598">
        <w:rPr>
          <w:sz w:val="28"/>
          <w:szCs w:val="28"/>
          <w:lang w:val="uk-UA"/>
        </w:rPr>
        <w:t xml:space="preserve"> про походження товару. За результатами </w:t>
      </w:r>
      <w:r w:rsidR="00CD79E8" w:rsidRPr="00A46598">
        <w:rPr>
          <w:sz w:val="28"/>
          <w:szCs w:val="28"/>
          <w:lang w:val="uk-UA"/>
        </w:rPr>
        <w:t xml:space="preserve"> перевірки виявлено 15 фальсифікованих сертифікатів</w:t>
      </w:r>
      <w:r w:rsidR="00960AC8" w:rsidRPr="00A46598">
        <w:rPr>
          <w:sz w:val="28"/>
          <w:szCs w:val="28"/>
          <w:lang w:val="uk-UA"/>
        </w:rPr>
        <w:t xml:space="preserve">. За </w:t>
      </w:r>
      <w:r w:rsidR="00960AC8" w:rsidRPr="00A46598">
        <w:rPr>
          <w:sz w:val="28"/>
          <w:szCs w:val="28"/>
          <w:lang w:val="uk-UA"/>
        </w:rPr>
        <w:lastRenderedPageBreak/>
        <w:t>фактами подання до митного оформлення фальсифікованих сертифікатів сума митних пл</w:t>
      </w:r>
      <w:r w:rsidR="003B742C" w:rsidRPr="00A46598">
        <w:rPr>
          <w:sz w:val="28"/>
          <w:szCs w:val="28"/>
          <w:lang w:val="uk-UA"/>
        </w:rPr>
        <w:t>атежів</w:t>
      </w:r>
      <w:r w:rsidR="00960AC8" w:rsidRPr="00A46598">
        <w:rPr>
          <w:sz w:val="28"/>
          <w:szCs w:val="28"/>
          <w:lang w:val="uk-UA"/>
        </w:rPr>
        <w:t xml:space="preserve">, яка підлягає сплаті, становить 4 млн. 64 тис. грн. </w:t>
      </w:r>
      <w:r w:rsidR="00CD79E8" w:rsidRPr="00A46598">
        <w:rPr>
          <w:sz w:val="28"/>
          <w:szCs w:val="28"/>
          <w:lang w:val="uk-UA"/>
        </w:rPr>
        <w:t xml:space="preserve"> </w:t>
      </w:r>
    </w:p>
    <w:p w:rsidR="009A4B38" w:rsidRPr="00A46598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A46598">
        <w:rPr>
          <w:sz w:val="28"/>
          <w:szCs w:val="28"/>
          <w:lang w:val="uk-UA" w:eastAsia="ar-SA"/>
        </w:rPr>
        <w:t xml:space="preserve">Для реалізації Митного кодексу Європейського Союзу прийнято Делегований акт (Регламент Комісії (ЄС) від 28.07.2015 № 2446/2015), яким затверджено порядок підтвердження </w:t>
      </w:r>
      <w:proofErr w:type="spellStart"/>
      <w:r w:rsidRPr="00A46598">
        <w:rPr>
          <w:sz w:val="28"/>
          <w:szCs w:val="28"/>
          <w:lang w:val="uk-UA" w:eastAsia="ar-SA"/>
        </w:rPr>
        <w:t>непреференційного</w:t>
      </w:r>
      <w:proofErr w:type="spellEnd"/>
      <w:r w:rsidRPr="00A46598">
        <w:rPr>
          <w:sz w:val="28"/>
          <w:szCs w:val="28"/>
          <w:lang w:val="uk-UA" w:eastAsia="ar-SA"/>
        </w:rPr>
        <w:t xml:space="preserve"> походження товарів з ЄС, зокрема Д</w:t>
      </w:r>
      <w:r w:rsidRPr="00A46598">
        <w:rPr>
          <w:sz w:val="28"/>
          <w:szCs w:val="28"/>
          <w:lang w:val="uk-UA" w:eastAsia="en-US"/>
        </w:rPr>
        <w:t xml:space="preserve">одатком 22-01 до цього акта затверджено </w:t>
      </w:r>
      <w:r w:rsidRPr="00A46598">
        <w:rPr>
          <w:sz w:val="28"/>
          <w:szCs w:val="28"/>
          <w:lang w:val="uk-UA"/>
        </w:rPr>
        <w:t xml:space="preserve">перелік операцій суттєвої обробки або переробки, які надають товарам статус </w:t>
      </w:r>
      <w:proofErr w:type="spellStart"/>
      <w:r w:rsidRPr="00A46598">
        <w:rPr>
          <w:sz w:val="28"/>
          <w:szCs w:val="28"/>
          <w:lang w:val="uk-UA"/>
        </w:rPr>
        <w:t>непреференційного</w:t>
      </w:r>
      <w:proofErr w:type="spellEnd"/>
      <w:r w:rsidRPr="00A46598">
        <w:rPr>
          <w:sz w:val="28"/>
          <w:szCs w:val="28"/>
          <w:lang w:val="uk-UA"/>
        </w:rPr>
        <w:t xml:space="preserve"> походження.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 w:eastAsia="en-US"/>
        </w:rPr>
      </w:pPr>
      <w:r w:rsidRPr="00A46598">
        <w:rPr>
          <w:sz w:val="28"/>
          <w:szCs w:val="28"/>
          <w:lang w:val="uk-UA" w:eastAsia="en-US"/>
        </w:rPr>
        <w:t>З огляду на викладене</w:t>
      </w:r>
      <w:r w:rsidR="00A40465" w:rsidRPr="00A46598">
        <w:rPr>
          <w:sz w:val="28"/>
          <w:szCs w:val="28"/>
          <w:lang w:val="uk-UA" w:eastAsia="en-US"/>
        </w:rPr>
        <w:t>,</w:t>
      </w:r>
      <w:r w:rsidRPr="00A46598">
        <w:rPr>
          <w:sz w:val="28"/>
          <w:szCs w:val="28"/>
          <w:lang w:val="uk-UA" w:eastAsia="en-US"/>
        </w:rPr>
        <w:t xml:space="preserve"> </w:t>
      </w:r>
      <w:r w:rsidRPr="00A46598">
        <w:rPr>
          <w:sz w:val="28"/>
          <w:szCs w:val="28"/>
          <w:lang w:val="uk-UA"/>
        </w:rPr>
        <w:t>необхідним є внесення змін до</w:t>
      </w:r>
      <w:r w:rsidRPr="00806B4C">
        <w:rPr>
          <w:sz w:val="28"/>
          <w:szCs w:val="28"/>
          <w:lang w:val="uk-UA"/>
        </w:rPr>
        <w:t xml:space="preserve"> постанови </w:t>
      </w:r>
      <w:r w:rsidRPr="00806B4C">
        <w:rPr>
          <w:bCs/>
          <w:sz w:val="28"/>
          <w:szCs w:val="28"/>
          <w:lang w:val="uk-UA"/>
        </w:rPr>
        <w:t xml:space="preserve">№ 1765 в частині приведення </w:t>
      </w:r>
      <w:r w:rsidRPr="00806B4C">
        <w:rPr>
          <w:rFonts w:eastAsia="Calibri"/>
          <w:sz w:val="28"/>
          <w:szCs w:val="28"/>
          <w:lang w:val="uk-UA" w:eastAsia="en-US"/>
        </w:rPr>
        <w:t xml:space="preserve">переліку виробничих і технологічних операцій, за якими визначається країна походження товару, у відповідність </w:t>
      </w:r>
      <w:r w:rsidR="000451E8">
        <w:rPr>
          <w:rFonts w:eastAsia="Calibri"/>
          <w:sz w:val="28"/>
          <w:szCs w:val="28"/>
          <w:lang w:val="uk-UA" w:eastAsia="en-US"/>
        </w:rPr>
        <w:t>із</w:t>
      </w:r>
      <w:r w:rsidRPr="00806B4C">
        <w:rPr>
          <w:rFonts w:eastAsia="Calibri"/>
          <w:sz w:val="28"/>
          <w:szCs w:val="28"/>
          <w:lang w:val="uk-UA" w:eastAsia="en-US"/>
        </w:rPr>
        <w:t xml:space="preserve"> </w:t>
      </w:r>
      <w:r w:rsidRPr="00806B4C">
        <w:rPr>
          <w:bCs/>
          <w:sz w:val="28"/>
          <w:szCs w:val="28"/>
          <w:lang w:val="uk-UA"/>
        </w:rPr>
        <w:t>критері</w:t>
      </w:r>
      <w:r w:rsidR="000451E8">
        <w:rPr>
          <w:bCs/>
          <w:sz w:val="28"/>
          <w:szCs w:val="28"/>
          <w:lang w:val="uk-UA"/>
        </w:rPr>
        <w:t>ями</w:t>
      </w:r>
      <w:r w:rsidRPr="00806B4C">
        <w:rPr>
          <w:bCs/>
          <w:sz w:val="28"/>
          <w:szCs w:val="28"/>
          <w:lang w:val="uk-UA"/>
        </w:rPr>
        <w:t xml:space="preserve"> </w:t>
      </w:r>
      <w:r w:rsidRPr="00806B4C">
        <w:rPr>
          <w:sz w:val="28"/>
          <w:szCs w:val="28"/>
          <w:lang w:val="uk-UA" w:eastAsia="en-US"/>
        </w:rPr>
        <w:t>походження товарів, встановлени</w:t>
      </w:r>
      <w:r w:rsidR="00CA49D2">
        <w:rPr>
          <w:sz w:val="28"/>
          <w:szCs w:val="28"/>
          <w:lang w:val="uk-UA" w:eastAsia="en-US"/>
        </w:rPr>
        <w:t>ми</w:t>
      </w:r>
      <w:r w:rsidRPr="00806B4C">
        <w:rPr>
          <w:sz w:val="28"/>
          <w:szCs w:val="28"/>
          <w:lang w:val="uk-UA" w:eastAsia="en-US"/>
        </w:rPr>
        <w:t xml:space="preserve"> Додатком 22-01</w:t>
      </w:r>
      <w:r w:rsidR="000B6437">
        <w:rPr>
          <w:sz w:val="28"/>
          <w:szCs w:val="28"/>
          <w:lang w:val="uk-UA" w:eastAsia="en-US"/>
        </w:rPr>
        <w:t xml:space="preserve"> до</w:t>
      </w:r>
      <w:r w:rsidRPr="00806B4C">
        <w:rPr>
          <w:sz w:val="28"/>
          <w:szCs w:val="28"/>
          <w:lang w:val="uk-UA" w:eastAsia="en-US"/>
        </w:rPr>
        <w:t xml:space="preserve"> Делегованого акта (Регламент Комісії (ЄС) від 28.07.2015 № 2446/2015).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 w:eastAsia="en-US"/>
        </w:rPr>
      </w:pPr>
    </w:p>
    <w:p w:rsidR="009A4B38" w:rsidRDefault="009A4B38" w:rsidP="009A4B38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Основні групи (підгрупи), на які проблема справляє вплив:</w:t>
      </w:r>
    </w:p>
    <w:p w:rsidR="009A4B38" w:rsidRPr="00FE6D36" w:rsidRDefault="009A4B38" w:rsidP="009A4B3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627"/>
        <w:gridCol w:w="2997"/>
        <w:gridCol w:w="2980"/>
      </w:tblGrid>
      <w:tr w:rsidR="009A4B38" w:rsidRPr="00EE6AD5" w:rsidTr="00FA0662">
        <w:tc>
          <w:tcPr>
            <w:tcW w:w="3628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Групи (підгрупи)</w:t>
            </w:r>
          </w:p>
          <w:p w:rsidR="009A4B38" w:rsidRPr="00EE6AD5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97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Так</w:t>
            </w:r>
          </w:p>
        </w:tc>
        <w:tc>
          <w:tcPr>
            <w:tcW w:w="2980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Ні</w:t>
            </w:r>
          </w:p>
        </w:tc>
      </w:tr>
      <w:tr w:rsidR="009A4B38" w:rsidRPr="00EE6AD5" w:rsidTr="00FA0662">
        <w:tc>
          <w:tcPr>
            <w:tcW w:w="3628" w:type="dxa"/>
          </w:tcPr>
          <w:p w:rsidR="009A4B38" w:rsidRPr="00EE6AD5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Громадяни</w:t>
            </w:r>
          </w:p>
        </w:tc>
        <w:tc>
          <w:tcPr>
            <w:tcW w:w="2997" w:type="dxa"/>
          </w:tcPr>
          <w:p w:rsidR="009A4B38" w:rsidRPr="009A4B38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980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A4B38" w:rsidRPr="00EE6AD5" w:rsidTr="00FA0662">
        <w:tc>
          <w:tcPr>
            <w:tcW w:w="3628" w:type="dxa"/>
          </w:tcPr>
          <w:p w:rsidR="009A4B38" w:rsidRPr="009A4B38" w:rsidRDefault="009A4B38" w:rsidP="00FA0662">
            <w:pPr>
              <w:jc w:val="both"/>
              <w:rPr>
                <w:rFonts w:eastAsia="Calibri"/>
                <w:lang w:val="en-US" w:eastAsia="en-US"/>
              </w:rPr>
            </w:pPr>
            <w:r w:rsidRPr="00EE6AD5">
              <w:rPr>
                <w:rFonts w:eastAsia="Calibri"/>
                <w:lang w:val="uk-UA" w:eastAsia="en-US"/>
              </w:rPr>
              <w:t>Держава</w:t>
            </w:r>
          </w:p>
        </w:tc>
        <w:tc>
          <w:tcPr>
            <w:tcW w:w="2997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A4B38" w:rsidRPr="00EE6AD5" w:rsidTr="00FA0662">
        <w:tc>
          <w:tcPr>
            <w:tcW w:w="3628" w:type="dxa"/>
          </w:tcPr>
          <w:p w:rsidR="009A4B38" w:rsidRPr="00EE6AD5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Суб’єкти господарювання</w:t>
            </w:r>
          </w:p>
        </w:tc>
        <w:tc>
          <w:tcPr>
            <w:tcW w:w="2997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A4B38" w:rsidRPr="00EE6AD5" w:rsidTr="00FA0662">
        <w:tc>
          <w:tcPr>
            <w:tcW w:w="3628" w:type="dxa"/>
          </w:tcPr>
          <w:p w:rsidR="009A4B38" w:rsidRPr="00EE6AD5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 xml:space="preserve">у тому числі суб’єкти  малого підприємництва ⃰⃰⃰⃰⃰⃰  </w:t>
            </w:r>
          </w:p>
        </w:tc>
        <w:tc>
          <w:tcPr>
            <w:tcW w:w="2997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EE6AD5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:rsidR="009A4B38" w:rsidRPr="00EE6AD5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9A4B38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A0491">
        <w:rPr>
          <w:rFonts w:eastAsia="Calibri"/>
          <w:lang w:val="uk-UA" w:eastAsia="en-US"/>
        </w:rPr>
        <w:t xml:space="preserve"> ⃰⃰⃰⃰⃰⃰ </w:t>
      </w:r>
      <w:r w:rsidRPr="007A0491">
        <w:rPr>
          <w:rFonts w:eastAsia="Calibri"/>
          <w:i/>
          <w:lang w:val="uk-UA" w:eastAsia="en-US"/>
        </w:rPr>
        <w:t>питому вагу суб’єктів малого підприємництва вказати неможливо, оскільки проблема однаково впливає на всіх суб’єктів господарювання  незалежно від рівня доходу.</w:t>
      </w:r>
      <w:r w:rsidRPr="007A0491">
        <w:rPr>
          <w:rFonts w:eastAsia="Calibri"/>
          <w:lang w:val="uk-UA" w:eastAsia="en-US"/>
        </w:rPr>
        <w:t xml:space="preserve"> </w:t>
      </w:r>
    </w:p>
    <w:p w:rsidR="009A4B38" w:rsidRDefault="009A4B38" w:rsidP="009A4B38">
      <w:pPr>
        <w:pStyle w:val="a3"/>
        <w:spacing w:before="0" w:beforeAutospacing="0" w:after="0" w:afterAutospacing="0"/>
        <w:ind w:firstLine="567"/>
        <w:rPr>
          <w:rFonts w:eastAsia="Calibri"/>
          <w:lang w:val="uk-UA" w:eastAsia="en-US"/>
        </w:rPr>
      </w:pPr>
    </w:p>
    <w:p w:rsidR="009A4B38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A0491">
        <w:rPr>
          <w:rFonts w:eastAsia="Calibri"/>
          <w:sz w:val="28"/>
          <w:szCs w:val="28"/>
          <w:lang w:val="uk-UA" w:eastAsia="en-US"/>
        </w:rPr>
        <w:t xml:space="preserve">Врегулювання </w:t>
      </w:r>
      <w:r>
        <w:rPr>
          <w:rFonts w:eastAsia="Calibri"/>
          <w:sz w:val="28"/>
          <w:szCs w:val="28"/>
          <w:lang w:val="uk-UA" w:eastAsia="en-US"/>
        </w:rPr>
        <w:t>зазначеного питання не може бути здійснено за допомогою:</w:t>
      </w:r>
    </w:p>
    <w:p w:rsidR="009A4B38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ринкових механізмів, оскільки такі питання р</w:t>
      </w:r>
      <w:r w:rsidR="00CF15E2">
        <w:rPr>
          <w:rFonts w:eastAsia="Calibri"/>
          <w:sz w:val="28"/>
          <w:szCs w:val="28"/>
          <w:lang w:val="uk-UA" w:eastAsia="en-US"/>
        </w:rPr>
        <w:t>егулюються виключно нормативно-</w:t>
      </w:r>
      <w:r>
        <w:rPr>
          <w:rFonts w:eastAsia="Calibri"/>
          <w:sz w:val="28"/>
          <w:szCs w:val="28"/>
          <w:lang w:val="uk-UA" w:eastAsia="en-US"/>
        </w:rPr>
        <w:t>правовим актом;</w:t>
      </w:r>
    </w:p>
    <w:p w:rsidR="009A4B38" w:rsidRPr="007A0491" w:rsidRDefault="009A4B38" w:rsidP="009A4B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 w:eastAsia="en-US"/>
        </w:rPr>
        <w:t xml:space="preserve">діючого регуляторного акта, оскільки він не відповідає акту вищої юридичної сили.  </w:t>
      </w:r>
    </w:p>
    <w:p w:rsidR="000B6437" w:rsidRDefault="000B6437" w:rsidP="000B6437">
      <w:pPr>
        <w:pStyle w:val="3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9A4B38" w:rsidRDefault="009A4B38" w:rsidP="000B6437">
      <w:pPr>
        <w:pStyle w:val="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39025A">
        <w:rPr>
          <w:sz w:val="28"/>
          <w:szCs w:val="28"/>
          <w:lang w:val="uk-UA"/>
        </w:rPr>
        <w:t>II. Цілі державного регулювання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4B50CB">
        <w:rPr>
          <w:sz w:val="28"/>
          <w:szCs w:val="28"/>
          <w:lang w:val="uk-UA"/>
        </w:rPr>
        <w:t xml:space="preserve">Метою підготовки проекту </w:t>
      </w:r>
      <w:r w:rsidRPr="00806B4C">
        <w:rPr>
          <w:sz w:val="28"/>
          <w:szCs w:val="28"/>
          <w:lang w:val="uk-UA"/>
        </w:rPr>
        <w:t>постанови</w:t>
      </w:r>
      <w:r w:rsidRPr="004B50CB">
        <w:rPr>
          <w:sz w:val="28"/>
          <w:szCs w:val="28"/>
          <w:lang w:val="uk-UA"/>
        </w:rPr>
        <w:t xml:space="preserve"> є: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177ADA">
        <w:rPr>
          <w:sz w:val="28"/>
          <w:szCs w:val="28"/>
          <w:lang w:val="uk-UA"/>
        </w:rPr>
        <w:t xml:space="preserve">виконання Україною зобов’язань, взятих відповідно до додатка XV до Угоди, адаптація законодавства України до законодавства країн-членів </w:t>
      </w:r>
      <w:r w:rsidR="00CF15E2" w:rsidRPr="00806B4C">
        <w:rPr>
          <w:sz w:val="28"/>
          <w:szCs w:val="28"/>
          <w:lang w:val="uk-UA"/>
        </w:rPr>
        <w:t>Європейського Союзу</w:t>
      </w:r>
      <w:r w:rsidRPr="00177ADA">
        <w:rPr>
          <w:sz w:val="28"/>
          <w:szCs w:val="28"/>
          <w:lang w:val="uk-UA"/>
        </w:rPr>
        <w:t xml:space="preserve"> в частині визначення </w:t>
      </w:r>
      <w:proofErr w:type="spellStart"/>
      <w:r w:rsidRPr="00177ADA">
        <w:rPr>
          <w:sz w:val="28"/>
          <w:szCs w:val="28"/>
          <w:lang w:val="uk-UA"/>
        </w:rPr>
        <w:t>непреференційного</w:t>
      </w:r>
      <w:proofErr w:type="spellEnd"/>
      <w:r w:rsidRPr="00177ADA">
        <w:rPr>
          <w:sz w:val="28"/>
          <w:szCs w:val="28"/>
          <w:lang w:val="uk-UA"/>
        </w:rPr>
        <w:t xml:space="preserve"> походження при імпорті </w:t>
      </w:r>
      <w:r>
        <w:rPr>
          <w:sz w:val="28"/>
          <w:szCs w:val="28"/>
          <w:lang w:val="uk-UA"/>
        </w:rPr>
        <w:t>в Україну товарів для застосування режиму найбільшого сприяння або його відновлення;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заміна переліку виробничих і технологічних операцій, за якими  визначається країна походження товару, наведеного у додатку до постанови     </w:t>
      </w:r>
      <w:r w:rsidR="00CF15E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№ 1765, на перелік, встановлений Додатком 22-01 </w:t>
      </w:r>
      <w:r w:rsidR="000B643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Делегованого акта (Регламент Комісії  (ЄС) від 28.07.2015 № 2446/2015);  </w:t>
      </w:r>
    </w:p>
    <w:p w:rsidR="009A4B38" w:rsidRDefault="009A4B38" w:rsidP="009A4B38">
      <w:pPr>
        <w:ind w:firstLine="708"/>
        <w:jc w:val="both"/>
        <w:rPr>
          <w:sz w:val="28"/>
          <w:szCs w:val="28"/>
          <w:lang w:val="uk-UA"/>
        </w:rPr>
      </w:pPr>
      <w:r w:rsidRPr="008952CD">
        <w:rPr>
          <w:sz w:val="28"/>
          <w:szCs w:val="28"/>
          <w:lang w:val="uk-UA"/>
        </w:rPr>
        <w:t>приведення нормативно-правов</w:t>
      </w:r>
      <w:r>
        <w:rPr>
          <w:sz w:val="28"/>
          <w:szCs w:val="28"/>
          <w:lang w:val="uk-UA"/>
        </w:rPr>
        <w:t>ого</w:t>
      </w:r>
      <w:r w:rsidRPr="008952CD">
        <w:rPr>
          <w:sz w:val="28"/>
          <w:szCs w:val="28"/>
          <w:lang w:val="uk-UA"/>
        </w:rPr>
        <w:t xml:space="preserve"> акт</w:t>
      </w:r>
      <w:r w:rsidR="000B6437">
        <w:rPr>
          <w:sz w:val="28"/>
          <w:szCs w:val="28"/>
          <w:lang w:val="uk-UA"/>
        </w:rPr>
        <w:t>а</w:t>
      </w:r>
      <w:r w:rsidRPr="008952CD">
        <w:rPr>
          <w:sz w:val="28"/>
          <w:szCs w:val="28"/>
          <w:lang w:val="uk-UA"/>
        </w:rPr>
        <w:t xml:space="preserve"> у відповідність </w:t>
      </w:r>
      <w:r w:rsidR="000B6437">
        <w:rPr>
          <w:sz w:val="28"/>
          <w:szCs w:val="28"/>
          <w:lang w:val="uk-UA"/>
        </w:rPr>
        <w:t>із</w:t>
      </w:r>
      <w:r w:rsidRPr="008952CD">
        <w:rPr>
          <w:sz w:val="28"/>
          <w:szCs w:val="28"/>
          <w:lang w:val="uk-UA"/>
        </w:rPr>
        <w:t xml:space="preserve"> міжнародни</w:t>
      </w:r>
      <w:r w:rsidR="000B6437">
        <w:rPr>
          <w:sz w:val="28"/>
          <w:szCs w:val="28"/>
          <w:lang w:val="uk-UA"/>
        </w:rPr>
        <w:t>ми</w:t>
      </w:r>
      <w:r w:rsidRPr="008952CD">
        <w:rPr>
          <w:sz w:val="28"/>
          <w:szCs w:val="28"/>
          <w:lang w:val="uk-UA"/>
        </w:rPr>
        <w:t xml:space="preserve"> стандарт</w:t>
      </w:r>
      <w:r w:rsidR="000B6437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>.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/>
        </w:rPr>
      </w:pPr>
    </w:p>
    <w:p w:rsidR="00F340A1" w:rsidRDefault="00F340A1" w:rsidP="009A4B38">
      <w:pPr>
        <w:ind w:firstLine="709"/>
        <w:jc w:val="both"/>
        <w:rPr>
          <w:sz w:val="28"/>
          <w:szCs w:val="28"/>
          <w:lang w:val="uk-UA"/>
        </w:rPr>
      </w:pPr>
    </w:p>
    <w:p w:rsidR="000B6437" w:rsidRDefault="000B6437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A4B38" w:rsidRPr="00FC560E" w:rsidRDefault="009A4B38" w:rsidP="000B6437">
      <w:pPr>
        <w:pStyle w:val="3"/>
        <w:spacing w:before="0" w:beforeAutospacing="0" w:after="0" w:afterAutospacing="0"/>
        <w:ind w:firstLine="426"/>
        <w:rPr>
          <w:sz w:val="28"/>
          <w:szCs w:val="28"/>
        </w:rPr>
      </w:pPr>
      <w:r w:rsidRPr="00F23374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  <w:r>
        <w:rPr>
          <w:sz w:val="28"/>
          <w:szCs w:val="28"/>
          <w:lang w:val="uk-UA"/>
        </w:rPr>
        <w:t xml:space="preserve"> </w:t>
      </w:r>
    </w:p>
    <w:p w:rsidR="009A4B38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A4B38" w:rsidRPr="00F651E5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F651E5">
        <w:rPr>
          <w:b w:val="0"/>
          <w:sz w:val="28"/>
          <w:szCs w:val="28"/>
          <w:lang w:val="uk-UA"/>
        </w:rPr>
        <w:t>Альтернативні способи досягнення цілей державного регулювання</w:t>
      </w:r>
      <w:r>
        <w:rPr>
          <w:b w:val="0"/>
          <w:sz w:val="28"/>
          <w:szCs w:val="28"/>
          <w:lang w:val="uk-UA"/>
        </w:rPr>
        <w:t>:</w:t>
      </w:r>
      <w:r w:rsidRPr="00F651E5">
        <w:rPr>
          <w:b w:val="0"/>
          <w:sz w:val="28"/>
          <w:szCs w:val="28"/>
          <w:lang w:val="uk-UA"/>
        </w:rPr>
        <w:t xml:space="preserve">  </w:t>
      </w:r>
    </w:p>
    <w:p w:rsidR="009A4B38" w:rsidRPr="00F651E5" w:rsidRDefault="009A4B38" w:rsidP="009A4B38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2802"/>
        <w:gridCol w:w="7052"/>
      </w:tblGrid>
      <w:tr w:rsidR="009A4B38" w:rsidTr="00FA0662">
        <w:tc>
          <w:tcPr>
            <w:tcW w:w="2802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7053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 xml:space="preserve">Опис альтернативи </w:t>
            </w:r>
          </w:p>
        </w:tc>
      </w:tr>
      <w:tr w:rsidR="009A4B38" w:rsidRPr="001E16B7" w:rsidTr="00FA0662">
        <w:tc>
          <w:tcPr>
            <w:tcW w:w="2802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7053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  <w:lang w:val="uk-UA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>Розробити проект постанови Кабінету Міністрів України «Про внесення змін у додаток до постанови Кабінету Міністрів України від 20 грудня 2006 р. № 1765».</w:t>
            </w:r>
          </w:p>
        </w:tc>
      </w:tr>
      <w:tr w:rsidR="009A4B38" w:rsidRPr="001E16B7" w:rsidTr="00FA0662">
        <w:tc>
          <w:tcPr>
            <w:tcW w:w="2802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7053" w:type="dxa"/>
          </w:tcPr>
          <w:p w:rsidR="009A4B38" w:rsidRPr="00EE6AD5" w:rsidRDefault="009A4B38" w:rsidP="000B643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 xml:space="preserve">Залишити без змін </w:t>
            </w:r>
            <w:r w:rsidRPr="00EE6AD5">
              <w:rPr>
                <w:rStyle w:val="FontStyle12"/>
                <w:color w:val="auto"/>
                <w:sz w:val="24"/>
                <w:szCs w:val="24"/>
                <w:lang w:val="uk-UA"/>
              </w:rPr>
              <w:t>постанову</w:t>
            </w:r>
            <w:r w:rsidRPr="00EE6AD5">
              <w:rPr>
                <w:rStyle w:val="FontStyle12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EE6AD5">
              <w:rPr>
                <w:b w:val="0"/>
                <w:sz w:val="24"/>
                <w:szCs w:val="24"/>
                <w:lang w:val="uk-UA"/>
              </w:rPr>
              <w:t>Кабінету Міністрів України від</w:t>
            </w:r>
            <w:r w:rsidR="000B643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E6AD5">
              <w:rPr>
                <w:b w:val="0"/>
                <w:sz w:val="24"/>
                <w:szCs w:val="24"/>
                <w:lang w:val="uk-UA"/>
              </w:rPr>
              <w:t>20</w:t>
            </w:r>
            <w:r w:rsidR="000B6437">
              <w:rPr>
                <w:b w:val="0"/>
                <w:sz w:val="24"/>
                <w:szCs w:val="24"/>
                <w:lang w:val="uk-UA"/>
              </w:rPr>
              <w:t>.12.2</w:t>
            </w:r>
            <w:r w:rsidRPr="00EE6AD5">
              <w:rPr>
                <w:b w:val="0"/>
                <w:sz w:val="24"/>
                <w:szCs w:val="24"/>
                <w:lang w:val="uk-UA"/>
              </w:rPr>
              <w:t>006 № 1765 «Про порядок встановлення та застосування правила адвалерної частки та виконання виробничих і технологічних операцій».</w:t>
            </w:r>
          </w:p>
        </w:tc>
      </w:tr>
    </w:tbl>
    <w:p w:rsidR="009A4B38" w:rsidRDefault="009A4B38" w:rsidP="009A4B38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i/>
          <w:sz w:val="24"/>
          <w:szCs w:val="24"/>
          <w:lang w:val="uk-UA" w:eastAsia="en-US"/>
        </w:rPr>
      </w:pPr>
      <w:r w:rsidRPr="007A0491">
        <w:rPr>
          <w:rFonts w:eastAsia="Calibri"/>
          <w:lang w:val="uk-UA" w:eastAsia="en-US"/>
        </w:rPr>
        <w:t xml:space="preserve">⃰⃰⃰⃰⃰⃰ </w:t>
      </w:r>
      <w:r w:rsidRPr="00F651E5">
        <w:rPr>
          <w:rFonts w:eastAsia="Calibri"/>
          <w:b w:val="0"/>
          <w:i/>
          <w:sz w:val="24"/>
          <w:szCs w:val="24"/>
          <w:lang w:val="uk-UA" w:eastAsia="en-US"/>
        </w:rPr>
        <w:t>інших альтернативних способів досягнення основної мети, ніж прийняття зазначеного регуляторного акта, не існує</w:t>
      </w:r>
      <w:r>
        <w:rPr>
          <w:rFonts w:eastAsia="Calibri"/>
          <w:b w:val="0"/>
          <w:i/>
          <w:sz w:val="24"/>
          <w:szCs w:val="24"/>
          <w:lang w:val="uk-UA" w:eastAsia="en-US"/>
        </w:rPr>
        <w:t>.</w:t>
      </w:r>
    </w:p>
    <w:p w:rsidR="009A4B38" w:rsidRDefault="009A4B38" w:rsidP="009A4B38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i/>
          <w:sz w:val="24"/>
          <w:szCs w:val="24"/>
          <w:lang w:val="uk-UA" w:eastAsia="en-US"/>
        </w:rPr>
      </w:pPr>
      <w:r w:rsidRPr="00F651E5">
        <w:rPr>
          <w:rFonts w:eastAsia="Calibri"/>
          <w:b w:val="0"/>
          <w:i/>
          <w:sz w:val="24"/>
          <w:szCs w:val="24"/>
          <w:lang w:val="uk-UA" w:eastAsia="en-US"/>
        </w:rPr>
        <w:t xml:space="preserve"> </w:t>
      </w:r>
    </w:p>
    <w:p w:rsidR="009A4B38" w:rsidRPr="00A46598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rFonts w:eastAsia="Calibri"/>
          <w:b w:val="0"/>
          <w:sz w:val="28"/>
          <w:szCs w:val="28"/>
          <w:lang w:val="uk-UA" w:eastAsia="en-US"/>
        </w:rPr>
      </w:pPr>
      <w:r w:rsidRPr="00AD538F">
        <w:rPr>
          <w:rFonts w:eastAsia="Calibri"/>
          <w:b w:val="0"/>
          <w:sz w:val="28"/>
          <w:szCs w:val="28"/>
          <w:lang w:val="uk-UA" w:eastAsia="en-US"/>
        </w:rPr>
        <w:t xml:space="preserve">Оцінка впливу на сферу інтересів </w:t>
      </w:r>
      <w:r w:rsidRPr="00A46598">
        <w:rPr>
          <w:rFonts w:eastAsia="Calibri"/>
          <w:b w:val="0"/>
          <w:sz w:val="28"/>
          <w:szCs w:val="28"/>
          <w:lang w:val="uk-UA" w:eastAsia="en-US"/>
        </w:rPr>
        <w:t>держави</w:t>
      </w:r>
      <w:r w:rsidR="00CF15E2" w:rsidRPr="00A46598">
        <w:rPr>
          <w:rFonts w:eastAsia="Calibri"/>
          <w:b w:val="0"/>
          <w:sz w:val="28"/>
          <w:szCs w:val="28"/>
          <w:lang w:val="uk-UA" w:eastAsia="en-US"/>
        </w:rPr>
        <w:t>.</w:t>
      </w:r>
      <w:r w:rsidRPr="00A46598">
        <w:rPr>
          <w:rFonts w:eastAsia="Calibri"/>
          <w:b w:val="0"/>
          <w:sz w:val="28"/>
          <w:szCs w:val="28"/>
          <w:lang w:val="uk-UA" w:eastAsia="en-US"/>
        </w:rPr>
        <w:t xml:space="preserve"> </w:t>
      </w:r>
    </w:p>
    <w:p w:rsidR="009A4B38" w:rsidRPr="00A46598" w:rsidRDefault="009A4B38" w:rsidP="009A4B38">
      <w:pPr>
        <w:pStyle w:val="3"/>
        <w:spacing w:before="0" w:beforeAutospacing="0" w:after="0" w:afterAutospacing="0"/>
        <w:ind w:left="426"/>
        <w:jc w:val="both"/>
        <w:rPr>
          <w:rFonts w:eastAsia="Calibri"/>
          <w:b w:val="0"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/>
      </w:tblPr>
      <w:tblGrid>
        <w:gridCol w:w="2660"/>
        <w:gridCol w:w="4251"/>
        <w:gridCol w:w="2943"/>
      </w:tblGrid>
      <w:tr w:rsidR="009A4B38" w:rsidRPr="00A46598" w:rsidTr="00FA0662">
        <w:tc>
          <w:tcPr>
            <w:tcW w:w="2660" w:type="dxa"/>
          </w:tcPr>
          <w:p w:rsidR="009A4B38" w:rsidRPr="00A46598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46598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252" w:type="dxa"/>
          </w:tcPr>
          <w:p w:rsidR="009A4B38" w:rsidRPr="00A46598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2943" w:type="dxa"/>
          </w:tcPr>
          <w:p w:rsidR="009A4B38" w:rsidRPr="00A46598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9A4B38" w:rsidRPr="00A46598" w:rsidTr="00FA0662">
        <w:tc>
          <w:tcPr>
            <w:tcW w:w="2660" w:type="dxa"/>
          </w:tcPr>
          <w:p w:rsidR="009A4B38" w:rsidRPr="00A46598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46598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252" w:type="dxa"/>
          </w:tcPr>
          <w:p w:rsidR="009A4B38" w:rsidRPr="00A46598" w:rsidRDefault="009A4B38" w:rsidP="000B6437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 високі, оскільки прийняття нового регуляторного акта надасть можливість адаптувати законодавств</w:t>
            </w:r>
            <w:r w:rsidR="000B6437"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</w:t>
            </w: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України до законодавства Є</w:t>
            </w:r>
            <w:r w:rsidR="00CF15E2"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вропейського Союзу</w:t>
            </w: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в частині визначення </w:t>
            </w:r>
            <w:proofErr w:type="spellStart"/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непреференційного</w:t>
            </w:r>
            <w:proofErr w:type="spellEnd"/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походження при імпорті в Україну товарів та  створити сприятливий клімат для розвитку зовнішньої торгівлі і залучення інвестицій.</w:t>
            </w:r>
          </w:p>
        </w:tc>
        <w:tc>
          <w:tcPr>
            <w:tcW w:w="2943" w:type="dxa"/>
          </w:tcPr>
          <w:p w:rsidR="009A4B38" w:rsidRPr="00A46598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Додаткові витрати відсутні. </w:t>
            </w:r>
          </w:p>
        </w:tc>
      </w:tr>
      <w:tr w:rsidR="009A4B38" w:rsidRPr="009A4B38" w:rsidTr="00FA0662">
        <w:tc>
          <w:tcPr>
            <w:tcW w:w="2660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EE6AD5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252" w:type="dxa"/>
          </w:tcPr>
          <w:p w:rsidR="009A4B38" w:rsidRPr="00EE6AD5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EE6AD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Залишаючи діюче регулювання без змін, вигоди відсутні. </w:t>
            </w:r>
          </w:p>
        </w:tc>
        <w:tc>
          <w:tcPr>
            <w:tcW w:w="2943" w:type="dxa"/>
          </w:tcPr>
          <w:p w:rsidR="009A4B38" w:rsidRPr="00EE6AD5" w:rsidRDefault="009A4B38" w:rsidP="002841E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712191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Високі.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Невиконання  Україною в рамках Угоди  зобов’язань 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імплементувати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до законодавства України положення Митного кодексу Європейського Союзу, зокрема в частині визначення 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непреференційного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 походження при імпорті товарів. Непривабливий </w:t>
            </w:r>
            <w:r w:rsidRPr="00712191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інвестиційний клімат.</w:t>
            </w:r>
          </w:p>
        </w:tc>
      </w:tr>
    </w:tbl>
    <w:p w:rsidR="007F5444" w:rsidRPr="00EE6AD5" w:rsidRDefault="007F5444" w:rsidP="009A4B38">
      <w:pPr>
        <w:pStyle w:val="3"/>
        <w:spacing w:before="0" w:beforeAutospacing="0" w:after="0" w:afterAutospacing="0"/>
        <w:ind w:firstLine="426"/>
        <w:jc w:val="both"/>
        <w:rPr>
          <w:b w:val="0"/>
          <w:sz w:val="24"/>
          <w:szCs w:val="24"/>
          <w:lang w:val="uk-UA"/>
        </w:rPr>
      </w:pPr>
    </w:p>
    <w:p w:rsidR="009A4B38" w:rsidRPr="00A46598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E6AD5">
        <w:rPr>
          <w:b w:val="0"/>
          <w:sz w:val="28"/>
          <w:szCs w:val="28"/>
          <w:lang w:val="uk-UA"/>
        </w:rPr>
        <w:t xml:space="preserve">Оцінка впливу на сферу інтересів </w:t>
      </w:r>
      <w:r w:rsidRPr="00A46598">
        <w:rPr>
          <w:b w:val="0"/>
          <w:sz w:val="28"/>
          <w:szCs w:val="28"/>
          <w:lang w:val="uk-UA"/>
        </w:rPr>
        <w:t>громадян</w:t>
      </w:r>
      <w:r w:rsidR="00CF15E2" w:rsidRPr="00A46598">
        <w:rPr>
          <w:b w:val="0"/>
          <w:sz w:val="28"/>
          <w:szCs w:val="28"/>
          <w:lang w:val="uk-UA"/>
        </w:rPr>
        <w:t>.</w:t>
      </w:r>
    </w:p>
    <w:p w:rsidR="001D7D08" w:rsidRPr="00A46598" w:rsidRDefault="009A4B3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  <w:r w:rsidRPr="00A46598">
        <w:rPr>
          <w:b w:val="0"/>
          <w:sz w:val="28"/>
          <w:szCs w:val="28"/>
          <w:lang w:val="uk-UA"/>
        </w:rPr>
        <w:t xml:space="preserve">Проект постанови не розповсюджується </w:t>
      </w:r>
      <w:r w:rsidR="001D7D08" w:rsidRPr="00A46598">
        <w:rPr>
          <w:b w:val="0"/>
          <w:sz w:val="28"/>
          <w:szCs w:val="28"/>
          <w:lang w:val="uk-UA"/>
        </w:rPr>
        <w:t xml:space="preserve"> на сферу інтересів  громадян</w:t>
      </w:r>
      <w:r w:rsidR="00CF15E2" w:rsidRPr="00A46598">
        <w:rPr>
          <w:b w:val="0"/>
          <w:sz w:val="28"/>
          <w:szCs w:val="28"/>
          <w:lang w:val="uk-UA"/>
        </w:rPr>
        <w:t>.</w:t>
      </w:r>
    </w:p>
    <w:p w:rsidR="009A4B38" w:rsidRPr="00A46598" w:rsidRDefault="001D7D0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  <w:r w:rsidRPr="00A46598">
        <w:rPr>
          <w:b w:val="0"/>
          <w:sz w:val="28"/>
          <w:szCs w:val="28"/>
          <w:lang w:val="uk-UA"/>
        </w:rPr>
        <w:t xml:space="preserve"> </w:t>
      </w:r>
    </w:p>
    <w:p w:rsidR="00CF15E2" w:rsidRPr="00A46598" w:rsidRDefault="009A4B38" w:rsidP="00CF15E2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46598">
        <w:rPr>
          <w:b w:val="0"/>
          <w:sz w:val="28"/>
          <w:szCs w:val="28"/>
          <w:lang w:val="uk-UA"/>
        </w:rPr>
        <w:t>Оцінка впливу на сферу інтересів суб’єктів господарювання</w:t>
      </w:r>
      <w:r w:rsidR="00CF15E2" w:rsidRPr="00A46598">
        <w:rPr>
          <w:b w:val="0"/>
          <w:sz w:val="28"/>
          <w:szCs w:val="28"/>
          <w:lang w:val="uk-UA"/>
        </w:rPr>
        <w:t>.</w:t>
      </w:r>
      <w:r w:rsidRPr="00A46598">
        <w:rPr>
          <w:rFonts w:eastAsia="Calibri"/>
          <w:lang w:val="uk-UA" w:eastAsia="en-US"/>
        </w:rPr>
        <w:t xml:space="preserve"> </w:t>
      </w:r>
    </w:p>
    <w:p w:rsidR="002F399D" w:rsidRPr="003A0B73" w:rsidRDefault="002F399D" w:rsidP="003A0B73">
      <w:pPr>
        <w:pStyle w:val="3"/>
        <w:spacing w:before="0" w:beforeAutospacing="0" w:after="0" w:afterAutospacing="0"/>
        <w:jc w:val="center"/>
        <w:rPr>
          <w:rFonts w:eastAsia="Calibri"/>
          <w:b w:val="0"/>
          <w:lang w:val="uk-UA" w:eastAsia="en-US"/>
        </w:rPr>
      </w:pPr>
    </w:p>
    <w:tbl>
      <w:tblPr>
        <w:tblStyle w:val="a7"/>
        <w:tblW w:w="0" w:type="auto"/>
        <w:tblLook w:val="04A0"/>
      </w:tblPr>
      <w:tblGrid>
        <w:gridCol w:w="2255"/>
        <w:gridCol w:w="1903"/>
        <w:gridCol w:w="1913"/>
        <w:gridCol w:w="1887"/>
        <w:gridCol w:w="1896"/>
      </w:tblGrid>
      <w:tr w:rsidR="00BB02D4" w:rsidRPr="002F399D" w:rsidTr="00BB02D4">
        <w:tc>
          <w:tcPr>
            <w:tcW w:w="2256" w:type="dxa"/>
          </w:tcPr>
          <w:p w:rsidR="003A0B73" w:rsidRPr="002F399D" w:rsidRDefault="003A0B73" w:rsidP="003A0B7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03" w:type="dxa"/>
          </w:tcPr>
          <w:p w:rsidR="003A0B73" w:rsidRPr="002F399D" w:rsidRDefault="003A0B73" w:rsidP="003A0B7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1913" w:type="dxa"/>
          </w:tcPr>
          <w:p w:rsidR="003A0B73" w:rsidRPr="002F399D" w:rsidRDefault="003A0B73" w:rsidP="003A0B7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1887" w:type="dxa"/>
          </w:tcPr>
          <w:p w:rsidR="003A0B73" w:rsidRPr="002F399D" w:rsidRDefault="003A0B73" w:rsidP="003A0B7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Малі</w:t>
            </w:r>
          </w:p>
        </w:tc>
        <w:tc>
          <w:tcPr>
            <w:tcW w:w="1896" w:type="dxa"/>
          </w:tcPr>
          <w:p w:rsidR="003A0B73" w:rsidRPr="002F399D" w:rsidRDefault="003A0B73" w:rsidP="003A0B7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Разом</w:t>
            </w:r>
          </w:p>
        </w:tc>
      </w:tr>
      <w:tr w:rsidR="00BB02D4" w:rsidRPr="002F399D" w:rsidTr="00BB02D4">
        <w:tc>
          <w:tcPr>
            <w:tcW w:w="2256" w:type="dxa"/>
          </w:tcPr>
          <w:p w:rsidR="003A0B73" w:rsidRPr="002F399D" w:rsidRDefault="003C5037" w:rsidP="003C503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 xml:space="preserve">Кількість суб’єктів </w:t>
            </w:r>
            <w:r w:rsidRPr="002F399D">
              <w:rPr>
                <w:b w:val="0"/>
                <w:sz w:val="24"/>
                <w:szCs w:val="24"/>
                <w:lang w:val="uk-UA"/>
              </w:rPr>
              <w:lastRenderedPageBreak/>
              <w:t>господарювання, що підпадають під дію регулювання одиниць</w:t>
            </w:r>
          </w:p>
        </w:tc>
        <w:tc>
          <w:tcPr>
            <w:tcW w:w="1903" w:type="dxa"/>
          </w:tcPr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C81479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2785</w:t>
            </w:r>
          </w:p>
        </w:tc>
        <w:tc>
          <w:tcPr>
            <w:tcW w:w="1913" w:type="dxa"/>
          </w:tcPr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C81479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16542</w:t>
            </w:r>
          </w:p>
        </w:tc>
        <w:tc>
          <w:tcPr>
            <w:tcW w:w="1887" w:type="dxa"/>
          </w:tcPr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C81479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82807</w:t>
            </w:r>
          </w:p>
        </w:tc>
        <w:tc>
          <w:tcPr>
            <w:tcW w:w="1896" w:type="dxa"/>
          </w:tcPr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516F" w:rsidRPr="002F399D" w:rsidRDefault="003A516F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C81479" w:rsidP="00C8147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102134</w:t>
            </w:r>
          </w:p>
        </w:tc>
      </w:tr>
      <w:tr w:rsidR="00BB02D4" w:rsidRPr="002F399D" w:rsidTr="00BB02D4">
        <w:tc>
          <w:tcPr>
            <w:tcW w:w="2256" w:type="dxa"/>
          </w:tcPr>
          <w:p w:rsidR="003A0B73" w:rsidRPr="002F399D" w:rsidRDefault="003C5037" w:rsidP="003C503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lastRenderedPageBreak/>
              <w:t>Питома  вага  групи у загальній кількості, відсотків</w:t>
            </w:r>
          </w:p>
        </w:tc>
        <w:tc>
          <w:tcPr>
            <w:tcW w:w="1903" w:type="dxa"/>
          </w:tcPr>
          <w:p w:rsidR="003A0B73" w:rsidRPr="002F399D" w:rsidRDefault="003A0B73" w:rsidP="007F544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7F5444" w:rsidRPr="002F399D" w:rsidRDefault="007F5444" w:rsidP="007F544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3  відсотка</w:t>
            </w:r>
          </w:p>
        </w:tc>
        <w:tc>
          <w:tcPr>
            <w:tcW w:w="1913" w:type="dxa"/>
          </w:tcPr>
          <w:p w:rsidR="007F5444" w:rsidRPr="002F399D" w:rsidRDefault="007F5444" w:rsidP="007F544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7F5444" w:rsidP="007F544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16 відсотків</w:t>
            </w:r>
          </w:p>
        </w:tc>
        <w:tc>
          <w:tcPr>
            <w:tcW w:w="1887" w:type="dxa"/>
          </w:tcPr>
          <w:p w:rsidR="007962F6" w:rsidRPr="002F399D" w:rsidRDefault="007962F6" w:rsidP="007962F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7F5444" w:rsidP="007962F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 xml:space="preserve">81 </w:t>
            </w:r>
            <w:r w:rsidR="007962F6" w:rsidRPr="002F399D">
              <w:rPr>
                <w:b w:val="0"/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896" w:type="dxa"/>
          </w:tcPr>
          <w:p w:rsidR="007962F6" w:rsidRPr="002F399D" w:rsidRDefault="007962F6" w:rsidP="007F544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:rsidR="003A0B73" w:rsidRPr="002F399D" w:rsidRDefault="007F5444" w:rsidP="007F544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F399D">
              <w:rPr>
                <w:b w:val="0"/>
                <w:sz w:val="24"/>
                <w:szCs w:val="24"/>
                <w:lang w:val="uk-UA"/>
              </w:rPr>
              <w:t>100 відсотків</w:t>
            </w:r>
          </w:p>
        </w:tc>
      </w:tr>
    </w:tbl>
    <w:p w:rsidR="00BB02D4" w:rsidRPr="00BB02D4" w:rsidRDefault="00BB02D4" w:rsidP="00BB02D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i/>
          <w:sz w:val="24"/>
          <w:szCs w:val="24"/>
          <w:lang w:val="uk-UA" w:eastAsia="en-US"/>
        </w:rPr>
      </w:pPr>
      <w:r w:rsidRPr="00BB02D4">
        <w:rPr>
          <w:rFonts w:eastAsia="Calibri"/>
          <w:b w:val="0"/>
          <w:i/>
          <w:sz w:val="24"/>
          <w:szCs w:val="24"/>
          <w:lang w:val="uk-UA" w:eastAsia="en-US"/>
        </w:rPr>
        <w:t xml:space="preserve">⃰⃰⃰⃰⃰⃰  </w:t>
      </w:r>
      <w:r w:rsidR="00001698">
        <w:rPr>
          <w:rFonts w:eastAsia="Calibri"/>
          <w:b w:val="0"/>
          <w:i/>
          <w:sz w:val="24"/>
          <w:szCs w:val="24"/>
          <w:lang w:val="uk-UA" w:eastAsia="en-US"/>
        </w:rPr>
        <w:t xml:space="preserve">згідно із </w:t>
      </w:r>
      <w:r w:rsidRPr="00BB02D4">
        <w:rPr>
          <w:rFonts w:eastAsia="Calibri"/>
          <w:b w:val="0"/>
          <w:i/>
          <w:sz w:val="24"/>
          <w:szCs w:val="24"/>
          <w:lang w:val="uk-UA" w:eastAsia="en-US"/>
        </w:rPr>
        <w:t>статистичн</w:t>
      </w:r>
      <w:r w:rsidR="00001698">
        <w:rPr>
          <w:rFonts w:eastAsia="Calibri"/>
          <w:b w:val="0"/>
          <w:i/>
          <w:sz w:val="24"/>
          <w:szCs w:val="24"/>
          <w:lang w:val="uk-UA" w:eastAsia="en-US"/>
        </w:rPr>
        <w:t>ими</w:t>
      </w:r>
      <w:r w:rsidRPr="00BB02D4">
        <w:rPr>
          <w:rFonts w:eastAsia="Calibri"/>
          <w:b w:val="0"/>
          <w:i/>
          <w:sz w:val="24"/>
          <w:szCs w:val="24"/>
          <w:lang w:val="uk-UA" w:eastAsia="en-US"/>
        </w:rPr>
        <w:t xml:space="preserve"> дан</w:t>
      </w:r>
      <w:r w:rsidR="00001698">
        <w:rPr>
          <w:rFonts w:eastAsia="Calibri"/>
          <w:b w:val="0"/>
          <w:i/>
          <w:sz w:val="24"/>
          <w:szCs w:val="24"/>
          <w:lang w:val="uk-UA" w:eastAsia="en-US"/>
        </w:rPr>
        <w:t>ими</w:t>
      </w:r>
      <w:r w:rsidR="0047148D">
        <w:rPr>
          <w:rFonts w:eastAsia="Calibri"/>
          <w:b w:val="0"/>
          <w:i/>
          <w:sz w:val="24"/>
          <w:szCs w:val="24"/>
          <w:lang w:val="uk-UA" w:eastAsia="en-US"/>
        </w:rPr>
        <w:t xml:space="preserve"> </w:t>
      </w:r>
      <w:r w:rsidR="0047148D">
        <w:rPr>
          <w:b w:val="0"/>
          <w:i/>
          <w:sz w:val="24"/>
          <w:szCs w:val="24"/>
          <w:lang w:val="uk-UA"/>
        </w:rPr>
        <w:t xml:space="preserve">Державної фіскальної служби </w:t>
      </w:r>
      <w:r w:rsidR="0047148D" w:rsidRPr="0047148D">
        <w:rPr>
          <w:b w:val="0"/>
          <w:i/>
          <w:sz w:val="24"/>
          <w:szCs w:val="24"/>
          <w:lang w:val="uk-UA"/>
        </w:rPr>
        <w:t>України</w:t>
      </w:r>
      <w:r w:rsidR="0047148D" w:rsidRPr="0047148D">
        <w:rPr>
          <w:rFonts w:eastAsia="Calibri"/>
          <w:b w:val="0"/>
          <w:i/>
          <w:sz w:val="24"/>
          <w:szCs w:val="24"/>
          <w:lang w:val="uk-UA" w:eastAsia="en-US"/>
        </w:rPr>
        <w:t xml:space="preserve"> </w:t>
      </w:r>
      <w:r w:rsidRPr="0047148D">
        <w:rPr>
          <w:b w:val="0"/>
          <w:i/>
          <w:sz w:val="24"/>
          <w:szCs w:val="24"/>
          <w:lang w:val="uk-UA"/>
        </w:rPr>
        <w:t>станом</w:t>
      </w:r>
      <w:r>
        <w:rPr>
          <w:b w:val="0"/>
          <w:i/>
          <w:sz w:val="24"/>
          <w:szCs w:val="24"/>
          <w:lang w:val="uk-UA"/>
        </w:rPr>
        <w:t xml:space="preserve"> на 01.07.2018 </w:t>
      </w:r>
    </w:p>
    <w:p w:rsidR="00BB02D4" w:rsidRPr="00BB02D4" w:rsidRDefault="00BB02D4" w:rsidP="009A4B38">
      <w:pPr>
        <w:pStyle w:val="3"/>
        <w:spacing w:before="0" w:beforeAutospacing="0" w:after="0" w:afterAutospacing="0"/>
        <w:jc w:val="both"/>
        <w:rPr>
          <w:b w:val="0"/>
          <w:i/>
          <w:sz w:val="24"/>
          <w:szCs w:val="24"/>
          <w:lang w:val="uk-UA"/>
        </w:rPr>
      </w:pPr>
    </w:p>
    <w:tbl>
      <w:tblPr>
        <w:tblStyle w:val="a7"/>
        <w:tblW w:w="0" w:type="auto"/>
        <w:tblLook w:val="04A0"/>
      </w:tblPr>
      <w:tblGrid>
        <w:gridCol w:w="2376"/>
        <w:gridCol w:w="4193"/>
        <w:gridCol w:w="3285"/>
      </w:tblGrid>
      <w:tr w:rsidR="009A4B38" w:rsidRPr="0090504F" w:rsidTr="00FA0662">
        <w:tc>
          <w:tcPr>
            <w:tcW w:w="2376" w:type="dxa"/>
          </w:tcPr>
          <w:p w:rsidR="009A4B38" w:rsidRPr="0090504F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194" w:type="dxa"/>
          </w:tcPr>
          <w:p w:rsidR="009A4B38" w:rsidRPr="0090504F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3285" w:type="dxa"/>
          </w:tcPr>
          <w:p w:rsidR="009A4B38" w:rsidRPr="0090504F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9A4B38" w:rsidRPr="007F5444" w:rsidTr="00FA0662">
        <w:tc>
          <w:tcPr>
            <w:tcW w:w="2376" w:type="dxa"/>
          </w:tcPr>
          <w:p w:rsidR="009A4B38" w:rsidRPr="0090504F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94" w:type="dxa"/>
          </w:tcPr>
          <w:p w:rsidR="009A4B38" w:rsidRPr="0090504F" w:rsidRDefault="009A4B38" w:rsidP="0031005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b w:val="0"/>
                <w:sz w:val="24"/>
                <w:szCs w:val="24"/>
                <w:lang w:val="uk-UA"/>
              </w:rPr>
              <w:t>Реалізація норм проекту постанови дозволить застосовувати суб’єктам господарювання режим найбільшого сприяння при імпорті в Україну товарів та пільг</w:t>
            </w:r>
            <w:r>
              <w:rPr>
                <w:b w:val="0"/>
                <w:sz w:val="24"/>
                <w:szCs w:val="24"/>
                <w:lang w:val="uk-UA"/>
              </w:rPr>
              <w:t>ових</w:t>
            </w:r>
            <w:r w:rsidRPr="0090504F">
              <w:rPr>
                <w:b w:val="0"/>
                <w:sz w:val="24"/>
                <w:szCs w:val="24"/>
                <w:lang w:val="uk-UA"/>
              </w:rPr>
              <w:t xml:space="preserve"> став</w:t>
            </w:r>
            <w:r>
              <w:rPr>
                <w:b w:val="0"/>
                <w:sz w:val="24"/>
                <w:szCs w:val="24"/>
                <w:lang w:val="uk-UA"/>
              </w:rPr>
              <w:t>ок</w:t>
            </w:r>
            <w:r w:rsidRPr="0090504F">
              <w:rPr>
                <w:b w:val="0"/>
                <w:sz w:val="24"/>
                <w:szCs w:val="24"/>
                <w:lang w:val="uk-UA"/>
              </w:rPr>
              <w:t xml:space="preserve"> ввізного мита</w:t>
            </w:r>
            <w:r w:rsidR="00E42C8E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9A4B38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90504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Додаткові витрати відсутні.</w:t>
            </w:r>
          </w:p>
          <w:p w:rsidR="009A4B38" w:rsidRPr="0090504F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9A4B38" w:rsidRPr="00C015D7" w:rsidTr="00FA0662">
        <w:tc>
          <w:tcPr>
            <w:tcW w:w="2376" w:type="dxa"/>
          </w:tcPr>
          <w:p w:rsidR="009A4B38" w:rsidRPr="0090504F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194" w:type="dxa"/>
          </w:tcPr>
          <w:p w:rsidR="009A4B38" w:rsidRPr="0090504F" w:rsidRDefault="009A4B38" w:rsidP="00FA066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90504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Залишаючи діюче регулювання без змін, вигоди відсутні, оскільки проблема  залишається невирішеною. </w:t>
            </w:r>
          </w:p>
        </w:tc>
        <w:tc>
          <w:tcPr>
            <w:tcW w:w="3285" w:type="dxa"/>
          </w:tcPr>
          <w:p w:rsidR="009A4B38" w:rsidRPr="002F399D" w:rsidRDefault="00CF15E2" w:rsidP="00CF15E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 </w:t>
            </w:r>
            <w:r w:rsidR="009A4B38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високі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.</w:t>
            </w:r>
            <w:r w:rsidR="009A4B38" w:rsidRPr="002F399D">
              <w:rPr>
                <w:rFonts w:eastAsia="Calibri"/>
                <w:b w:val="0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="009A4B38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Непривабливий інвестиційний клімат та </w:t>
            </w:r>
            <w:r w:rsidR="002841E0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застосування в Україні правил визначення </w:t>
            </w:r>
            <w:proofErr w:type="spellStart"/>
            <w:r w:rsidR="002841E0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непреференційного</w:t>
            </w:r>
            <w:proofErr w:type="spellEnd"/>
            <w:r w:rsidR="002841E0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походження відмінних від правил,</w:t>
            </w:r>
            <w:r w:rsidR="00AB5A19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2841E0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що застосовуються в </w:t>
            </w:r>
            <w:r w:rsidR="002841E0"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Європейському Союз</w:t>
            </w:r>
            <w:r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</w:t>
            </w:r>
            <w:r w:rsidR="002F399D" w:rsidRPr="00A4659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, призведе до не </w:t>
            </w:r>
            <w:r w:rsidR="002F399D" w:rsidRPr="00A46598">
              <w:rPr>
                <w:b w:val="0"/>
                <w:sz w:val="24"/>
                <w:szCs w:val="24"/>
                <w:lang w:val="uk-UA"/>
              </w:rPr>
              <w:t xml:space="preserve"> забезпечення</w:t>
            </w:r>
            <w:r w:rsidR="002F399D" w:rsidRPr="002F399D">
              <w:rPr>
                <w:b w:val="0"/>
                <w:sz w:val="24"/>
                <w:szCs w:val="24"/>
                <w:lang w:val="uk-UA"/>
              </w:rPr>
              <w:t xml:space="preserve">  виконання Україною зобов’язань, взятих  відповідно до додатка </w:t>
            </w:r>
            <w:r w:rsidR="002F399D" w:rsidRPr="002F399D">
              <w:rPr>
                <w:b w:val="0"/>
                <w:sz w:val="24"/>
                <w:szCs w:val="24"/>
                <w:lang w:val="en-US"/>
              </w:rPr>
              <w:t>XV</w:t>
            </w:r>
            <w:r w:rsidR="002F399D" w:rsidRPr="002F399D">
              <w:rPr>
                <w:b w:val="0"/>
                <w:sz w:val="24"/>
                <w:szCs w:val="24"/>
                <w:lang w:val="uk-UA"/>
              </w:rPr>
              <w:t>до Угоди</w:t>
            </w:r>
            <w:r w:rsidR="002841E0" w:rsidRPr="002F399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 </w:t>
            </w:r>
          </w:p>
        </w:tc>
      </w:tr>
    </w:tbl>
    <w:p w:rsidR="009A4B38" w:rsidRPr="0090504F" w:rsidRDefault="009A4B38" w:rsidP="009A4B38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:rsidR="009A4B38" w:rsidRPr="0090504F" w:rsidRDefault="009A4B38" w:rsidP="009A4B3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9A4B38" w:rsidRPr="0090504F" w:rsidRDefault="009A4B38" w:rsidP="00F340A1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504F">
        <w:rPr>
          <w:sz w:val="28"/>
          <w:szCs w:val="28"/>
          <w:lang w:val="uk-UA"/>
        </w:rPr>
        <w:t xml:space="preserve">IV. Вибір найбільш оптимального альтернативного способу досягнення </w:t>
      </w:r>
      <w:r>
        <w:rPr>
          <w:sz w:val="28"/>
          <w:szCs w:val="28"/>
          <w:lang w:val="uk-UA"/>
        </w:rPr>
        <w:t>цілей</w:t>
      </w:r>
    </w:p>
    <w:p w:rsidR="009A4B38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05"/>
        <w:gridCol w:w="2946"/>
        <w:gridCol w:w="4765"/>
      </w:tblGrid>
      <w:tr w:rsidR="009A4B38" w:rsidRPr="005A5BA3" w:rsidTr="00FA0662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B38" w:rsidRPr="005A5BA3" w:rsidRDefault="009A4B38" w:rsidP="00FA0662">
            <w:pPr>
              <w:jc w:val="center"/>
              <w:rPr>
                <w:lang w:val="uk-UA"/>
              </w:rPr>
            </w:pPr>
            <w:r w:rsidRPr="005A5BA3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B38" w:rsidRPr="005A5BA3" w:rsidRDefault="009A4B38" w:rsidP="00FA0662">
            <w:pPr>
              <w:jc w:val="center"/>
              <w:rPr>
                <w:lang w:val="uk-UA"/>
              </w:rPr>
            </w:pPr>
            <w:r w:rsidRPr="005A5BA3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4B38" w:rsidRPr="005A5BA3" w:rsidRDefault="009A4B38" w:rsidP="00FA0662">
            <w:pPr>
              <w:jc w:val="center"/>
              <w:rPr>
                <w:lang w:val="uk-UA"/>
              </w:rPr>
            </w:pPr>
            <w:r w:rsidRPr="005A5BA3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9A4B38" w:rsidRPr="005A5BA3" w:rsidTr="00FA0662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5A5BA3" w:rsidRDefault="009A4B38" w:rsidP="00FA0662">
            <w:pPr>
              <w:jc w:val="both"/>
              <w:rPr>
                <w:lang w:val="uk-UA"/>
              </w:rPr>
            </w:pPr>
            <w:r w:rsidRPr="005A5BA3">
              <w:rPr>
                <w:lang w:val="uk-UA"/>
              </w:rPr>
              <w:t>Альтернатива 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5A5BA3" w:rsidRDefault="009A4B38" w:rsidP="00FA06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4951B4" w:rsidRDefault="009A4B38" w:rsidP="00FA06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Цілі прийняття регуляторного акта можуть бути досягнути повною мірою.</w:t>
            </w:r>
          </w:p>
        </w:tc>
      </w:tr>
      <w:tr w:rsidR="009A4B38" w:rsidRPr="005A5BA3" w:rsidTr="00FA0662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5A5BA3" w:rsidRDefault="009A4B38" w:rsidP="00FA0662">
            <w:pPr>
              <w:jc w:val="both"/>
              <w:rPr>
                <w:lang w:val="uk-UA"/>
              </w:rPr>
            </w:pPr>
            <w:r w:rsidRPr="005A5BA3">
              <w:rPr>
                <w:lang w:val="uk-UA"/>
              </w:rPr>
              <w:t xml:space="preserve">Альтернатива </w:t>
            </w:r>
            <w:r>
              <w:rPr>
                <w:lang w:val="uk-UA"/>
              </w:rPr>
              <w:t>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5A5BA3" w:rsidRDefault="009A4B38" w:rsidP="00FA06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8F6901" w:rsidRDefault="009A4B38" w:rsidP="00FA06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дозволяє досягнути поставлених цілей державного регулювання. </w:t>
            </w:r>
          </w:p>
        </w:tc>
      </w:tr>
    </w:tbl>
    <w:p w:rsidR="009A4B38" w:rsidRDefault="009A4B38" w:rsidP="009A4B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2F399D" w:rsidRPr="00D61888" w:rsidRDefault="002F399D" w:rsidP="009A4B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63"/>
        <w:gridCol w:w="3058"/>
        <w:gridCol w:w="2581"/>
        <w:gridCol w:w="2214"/>
      </w:tblGrid>
      <w:tr w:rsidR="009A4B38" w:rsidRPr="005A5BA3" w:rsidTr="00FA066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center"/>
              <w:rPr>
                <w:lang w:val="uk-UA"/>
              </w:rPr>
            </w:pPr>
            <w:r w:rsidRPr="007E103D">
              <w:rPr>
                <w:lang w:val="uk-UA"/>
              </w:rPr>
              <w:t>Рейтинг результативності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center"/>
              <w:rPr>
                <w:lang w:val="uk-UA"/>
              </w:rPr>
            </w:pPr>
            <w:r w:rsidRPr="007E103D">
              <w:rPr>
                <w:lang w:val="uk-UA"/>
              </w:rPr>
              <w:t>Вигоди (підсумок)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center"/>
              <w:rPr>
                <w:lang w:val="uk-UA"/>
              </w:rPr>
            </w:pPr>
            <w:r w:rsidRPr="007E103D">
              <w:rPr>
                <w:lang w:val="uk-UA"/>
              </w:rPr>
              <w:t>Витрати (підсумок)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center"/>
              <w:rPr>
                <w:lang w:val="uk-UA"/>
              </w:rPr>
            </w:pPr>
            <w:r w:rsidRPr="007E103D">
              <w:rPr>
                <w:lang w:val="uk-UA"/>
              </w:rPr>
              <w:t xml:space="preserve">Обґрунтування відповідного місця </w:t>
            </w:r>
            <w:r w:rsidRPr="007E103D">
              <w:rPr>
                <w:lang w:val="uk-UA"/>
              </w:rPr>
              <w:lastRenderedPageBreak/>
              <w:t>альтернативи у рейтингу</w:t>
            </w:r>
          </w:p>
        </w:tc>
      </w:tr>
      <w:tr w:rsidR="009A4B38" w:rsidRPr="00C015D7" w:rsidTr="00FA066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both"/>
              <w:rPr>
                <w:lang w:val="uk-UA"/>
              </w:rPr>
            </w:pPr>
            <w:r w:rsidRPr="007E103D">
              <w:rPr>
                <w:lang w:val="uk-UA"/>
              </w:rPr>
              <w:lastRenderedPageBreak/>
              <w:t>Альтернатива 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Default="009A4B38" w:rsidP="00FA06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Прийняття проекту постанови забезпечить: виконання Україною зобов’язань, взятих  відповідно до додатка </w:t>
            </w:r>
            <w:r>
              <w:rPr>
                <w:lang w:val="en-US"/>
              </w:rPr>
              <w:t>XV</w:t>
            </w:r>
            <w:r w:rsidR="002F399D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до Угоди; узгодження інтересів бізнесу та держави;</w:t>
            </w:r>
          </w:p>
          <w:p w:rsidR="009A4B38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DB0683">
              <w:rPr>
                <w:rFonts w:eastAsia="Calibri"/>
                <w:lang w:val="uk-UA" w:eastAsia="en-US"/>
              </w:rPr>
              <w:t>створ</w:t>
            </w:r>
            <w:r>
              <w:rPr>
                <w:rFonts w:eastAsia="Calibri"/>
                <w:lang w:val="uk-UA" w:eastAsia="en-US"/>
              </w:rPr>
              <w:t>ення</w:t>
            </w:r>
            <w:r w:rsidRPr="00DB0683">
              <w:rPr>
                <w:rFonts w:eastAsia="Calibri"/>
                <w:lang w:val="uk-UA" w:eastAsia="en-US"/>
              </w:rPr>
              <w:t xml:space="preserve"> сприятлив</w:t>
            </w:r>
            <w:r>
              <w:rPr>
                <w:rFonts w:eastAsia="Calibri"/>
                <w:lang w:val="uk-UA" w:eastAsia="en-US"/>
              </w:rPr>
              <w:t>ого</w:t>
            </w:r>
            <w:r w:rsidRPr="00DB0683">
              <w:rPr>
                <w:rFonts w:eastAsia="Calibri"/>
                <w:lang w:val="uk-UA" w:eastAsia="en-US"/>
              </w:rPr>
              <w:t xml:space="preserve"> клімат</w:t>
            </w:r>
            <w:r>
              <w:rPr>
                <w:rFonts w:eastAsia="Calibri"/>
                <w:lang w:val="uk-UA" w:eastAsia="en-US"/>
              </w:rPr>
              <w:t>у</w:t>
            </w:r>
            <w:r w:rsidRPr="00DB0683">
              <w:rPr>
                <w:rFonts w:eastAsia="Calibri"/>
                <w:lang w:val="uk-UA" w:eastAsia="en-US"/>
              </w:rPr>
              <w:t xml:space="preserve"> для розвитку зовнішньої торгівлі і залучення інвестицій</w:t>
            </w:r>
            <w:r>
              <w:rPr>
                <w:rFonts w:eastAsia="Calibri"/>
                <w:lang w:val="uk-UA" w:eastAsia="en-US"/>
              </w:rPr>
              <w:t>;</w:t>
            </w:r>
          </w:p>
          <w:p w:rsidR="009A4B38" w:rsidRDefault="009A4B38" w:rsidP="00FA06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адаптацію законодавства  України до законодавства країн-членів ЄС  в частині  визначення </w:t>
            </w:r>
            <w:proofErr w:type="spellStart"/>
            <w:r>
              <w:rPr>
                <w:lang w:val="uk-UA"/>
              </w:rPr>
              <w:t>непреференційного</w:t>
            </w:r>
            <w:proofErr w:type="spellEnd"/>
            <w:r>
              <w:rPr>
                <w:lang w:val="uk-UA"/>
              </w:rPr>
              <w:t xml:space="preserve"> походження  при імпорті   в Україну товарів.</w:t>
            </w:r>
          </w:p>
          <w:p w:rsidR="009A4B38" w:rsidRPr="007E103D" w:rsidRDefault="009A4B38" w:rsidP="00FA06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Запропонований спосіб вирішення зазначеної проблеми є найбільш  доцільним, оскільки це забезпечить привабливість </w:t>
            </w:r>
            <w:r w:rsidR="00AB5A19">
              <w:rPr>
                <w:lang w:val="uk-UA"/>
              </w:rPr>
              <w:t>інвестицій</w:t>
            </w:r>
            <w:r>
              <w:rPr>
                <w:lang w:val="uk-UA"/>
              </w:rPr>
              <w:t xml:space="preserve"> в Україну.</w:t>
            </w:r>
          </w:p>
          <w:p w:rsidR="009A4B38" w:rsidRPr="007E103D" w:rsidRDefault="009A4B38" w:rsidP="00FA0662">
            <w:pPr>
              <w:jc w:val="both"/>
              <w:rPr>
                <w:lang w:val="uk-UA"/>
              </w:rPr>
            </w:pP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B85EC8" w:rsidP="00FA06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Витрати відсутні</w:t>
            </w:r>
          </w:p>
          <w:p w:rsidR="009A4B38" w:rsidRPr="007E103D" w:rsidRDefault="009A4B38" w:rsidP="00FA0662">
            <w:pPr>
              <w:jc w:val="both"/>
              <w:rPr>
                <w:lang w:val="uk-UA"/>
              </w:rPr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both"/>
              <w:rPr>
                <w:lang w:val="uk-UA"/>
              </w:rPr>
            </w:pPr>
            <w:r w:rsidRPr="007E103D">
              <w:rPr>
                <w:lang w:val="uk-UA"/>
              </w:rPr>
              <w:t>Є</w:t>
            </w:r>
            <w:r>
              <w:rPr>
                <w:lang w:val="uk-UA"/>
              </w:rPr>
              <w:t xml:space="preserve"> найбільш </w:t>
            </w:r>
            <w:r w:rsidRPr="007E103D">
              <w:rPr>
                <w:lang w:val="uk-UA"/>
              </w:rPr>
              <w:t xml:space="preserve"> оптимальною серед запропонованих альтернатив, оскільки відповідає вимогам регуляторної політики і досягає </w:t>
            </w:r>
            <w:r>
              <w:rPr>
                <w:lang w:val="uk-UA"/>
              </w:rPr>
              <w:t>цілей державного регулювання</w:t>
            </w:r>
            <w:r w:rsidRPr="007E103D">
              <w:rPr>
                <w:lang w:val="uk-UA"/>
              </w:rPr>
              <w:t>.</w:t>
            </w:r>
          </w:p>
        </w:tc>
      </w:tr>
      <w:tr w:rsidR="009A4B38" w:rsidRPr="005A5BA3" w:rsidTr="00FA0662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7E103D" w:rsidRDefault="009A4B38" w:rsidP="00FA0662">
            <w:pPr>
              <w:jc w:val="both"/>
              <w:rPr>
                <w:lang w:val="uk-UA"/>
              </w:rPr>
            </w:pPr>
            <w:r w:rsidRPr="007E103D">
              <w:rPr>
                <w:lang w:val="uk-UA"/>
              </w:rPr>
              <w:t xml:space="preserve">Альтернатива </w:t>
            </w:r>
            <w:r>
              <w:rPr>
                <w:lang w:val="uk-UA"/>
              </w:rPr>
              <w:t>2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A46598" w:rsidRDefault="009A4B38" w:rsidP="00FA0662">
            <w:pPr>
              <w:jc w:val="both"/>
              <w:rPr>
                <w:lang w:val="uk-UA"/>
              </w:rPr>
            </w:pPr>
            <w:r w:rsidRPr="00A46598">
              <w:rPr>
                <w:rFonts w:eastAsia="Calibri"/>
                <w:lang w:val="uk-UA" w:eastAsia="en-US"/>
              </w:rPr>
              <w:t>Залишаючи діюче регулювання без змін, вигоди відсутні, оскільки проблема залишається невирішеною.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A46598" w:rsidRDefault="009A4B38" w:rsidP="00FA0662">
            <w:pPr>
              <w:jc w:val="both"/>
              <w:rPr>
                <w:lang w:val="uk-UA"/>
              </w:rPr>
            </w:pPr>
            <w:r w:rsidRPr="00A46598">
              <w:rPr>
                <w:lang w:val="uk-UA"/>
              </w:rPr>
              <w:t>Витрати високі.</w:t>
            </w:r>
          </w:p>
          <w:p w:rsidR="002F399D" w:rsidRPr="00A46598" w:rsidRDefault="005146B0" w:rsidP="00FA0662">
            <w:pPr>
              <w:jc w:val="both"/>
              <w:rPr>
                <w:lang w:val="uk-UA"/>
              </w:rPr>
            </w:pPr>
            <w:proofErr w:type="spellStart"/>
            <w:r w:rsidRPr="00A46598">
              <w:rPr>
                <w:lang w:val="uk-UA"/>
              </w:rPr>
              <w:t>Н</w:t>
            </w:r>
            <w:r w:rsidR="00400E32" w:rsidRPr="00A46598">
              <w:rPr>
                <w:lang w:val="uk-UA"/>
              </w:rPr>
              <w:t>езапровадження</w:t>
            </w:r>
            <w:proofErr w:type="spellEnd"/>
            <w:r w:rsidR="00400E32" w:rsidRPr="00A46598">
              <w:rPr>
                <w:lang w:val="uk-UA"/>
              </w:rPr>
              <w:t xml:space="preserve">  регуляторного акта </w:t>
            </w:r>
          </w:p>
          <w:p w:rsidR="009A4B38" w:rsidRPr="00A46598" w:rsidRDefault="00400E32" w:rsidP="00400E32">
            <w:pPr>
              <w:jc w:val="both"/>
              <w:rPr>
                <w:b/>
                <w:lang w:val="uk-UA"/>
              </w:rPr>
            </w:pPr>
            <w:r w:rsidRPr="00A46598">
              <w:rPr>
                <w:lang w:val="uk-UA"/>
              </w:rPr>
              <w:t xml:space="preserve">призведе </w:t>
            </w:r>
            <w:r w:rsidR="00CF15E2" w:rsidRPr="00A46598">
              <w:rPr>
                <w:rFonts w:eastAsia="Calibri"/>
                <w:lang w:val="uk-UA" w:eastAsia="en-US"/>
              </w:rPr>
              <w:t>до не</w:t>
            </w:r>
            <w:r w:rsidRPr="00A46598">
              <w:rPr>
                <w:lang w:val="uk-UA"/>
              </w:rPr>
              <w:t>забезпечення  виконання Україною зобов’язань, взятих  відповідно до додатка XV</w:t>
            </w:r>
            <w:r w:rsidR="000B6437" w:rsidRPr="00A46598">
              <w:rPr>
                <w:lang w:val="uk-UA"/>
              </w:rPr>
              <w:t xml:space="preserve"> </w:t>
            </w:r>
            <w:r w:rsidRPr="00A46598">
              <w:rPr>
                <w:lang w:val="uk-UA"/>
              </w:rPr>
              <w:t>до Угоди</w:t>
            </w:r>
            <w:r w:rsidRPr="00A46598">
              <w:rPr>
                <w:rFonts w:eastAsia="Calibri"/>
                <w:b/>
                <w:lang w:val="uk-UA" w:eastAsia="en-US"/>
              </w:rPr>
              <w:t xml:space="preserve">  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4B38" w:rsidRPr="00400E32" w:rsidRDefault="009A4B38" w:rsidP="00FA0662">
            <w:pPr>
              <w:jc w:val="both"/>
              <w:rPr>
                <w:lang w:val="uk-UA"/>
              </w:rPr>
            </w:pPr>
            <w:r w:rsidRPr="00400E32">
              <w:rPr>
                <w:lang w:val="uk-UA"/>
              </w:rPr>
              <w:t>Є найгіршою з альтернатив, оскільки не призведе до досягнення цілей державного регулювання.</w:t>
            </w:r>
          </w:p>
        </w:tc>
      </w:tr>
    </w:tbl>
    <w:p w:rsidR="009A4B38" w:rsidRDefault="009A4B38" w:rsidP="009A4B38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9A4B38" w:rsidRDefault="009A4B38" w:rsidP="00F340A1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C261C">
        <w:rPr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9A4B38" w:rsidRDefault="009A4B38" w:rsidP="009A4B38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9A4B38" w:rsidRPr="00A46598" w:rsidRDefault="009A4B38" w:rsidP="009A4B3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4D58" w:rsidRPr="00AE4D58">
        <w:rPr>
          <w:b w:val="0"/>
          <w:sz w:val="28"/>
          <w:szCs w:val="28"/>
          <w:lang w:val="uk-UA"/>
        </w:rPr>
        <w:t>Механізмом, який</w:t>
      </w:r>
      <w:r w:rsidR="00AE4D58">
        <w:rPr>
          <w:sz w:val="28"/>
          <w:szCs w:val="28"/>
          <w:lang w:val="uk-UA"/>
        </w:rPr>
        <w:t xml:space="preserve"> </w:t>
      </w:r>
      <w:r w:rsidR="00AE4D58" w:rsidRPr="00A46598">
        <w:rPr>
          <w:b w:val="0"/>
          <w:sz w:val="28"/>
          <w:szCs w:val="28"/>
          <w:lang w:val="uk-UA"/>
        </w:rPr>
        <w:t>забезпечить р</w:t>
      </w:r>
      <w:r w:rsidRPr="00A46598">
        <w:rPr>
          <w:b w:val="0"/>
          <w:sz w:val="28"/>
          <w:szCs w:val="28"/>
          <w:lang w:val="uk-UA"/>
        </w:rPr>
        <w:t xml:space="preserve">озв’язання </w:t>
      </w:r>
      <w:r w:rsidR="00AE4D58" w:rsidRPr="00A46598">
        <w:rPr>
          <w:b w:val="0"/>
          <w:sz w:val="28"/>
          <w:szCs w:val="28"/>
          <w:lang w:val="uk-UA"/>
        </w:rPr>
        <w:t xml:space="preserve">визначеної </w:t>
      </w:r>
      <w:r w:rsidRPr="00A46598">
        <w:rPr>
          <w:b w:val="0"/>
          <w:sz w:val="28"/>
          <w:szCs w:val="28"/>
          <w:lang w:val="uk-UA"/>
        </w:rPr>
        <w:t>проблеми</w:t>
      </w:r>
      <w:r w:rsidR="00AE4D58" w:rsidRPr="00A46598">
        <w:rPr>
          <w:b w:val="0"/>
          <w:sz w:val="28"/>
          <w:szCs w:val="28"/>
          <w:lang w:val="uk-UA"/>
        </w:rPr>
        <w:t>, є</w:t>
      </w:r>
      <w:r w:rsidRPr="00A46598">
        <w:rPr>
          <w:b w:val="0"/>
          <w:sz w:val="28"/>
          <w:szCs w:val="28"/>
          <w:lang w:val="uk-UA"/>
        </w:rPr>
        <w:t xml:space="preserve">  прийняття зазначеного регуляторного акт</w:t>
      </w:r>
      <w:r w:rsidR="00D63475" w:rsidRPr="00A46598">
        <w:rPr>
          <w:b w:val="0"/>
          <w:sz w:val="28"/>
          <w:szCs w:val="28"/>
          <w:lang w:val="uk-UA"/>
        </w:rPr>
        <w:t>а</w:t>
      </w:r>
      <w:r w:rsidRPr="00A46598">
        <w:rPr>
          <w:b w:val="0"/>
          <w:sz w:val="28"/>
          <w:szCs w:val="28"/>
          <w:lang w:val="uk-UA"/>
        </w:rPr>
        <w:t xml:space="preserve">. </w:t>
      </w:r>
    </w:p>
    <w:p w:rsidR="00AE4D58" w:rsidRPr="00A46598" w:rsidRDefault="00AE4D58" w:rsidP="00AE4D58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</w:p>
    <w:p w:rsidR="00AE4D58" w:rsidRPr="00A46598" w:rsidRDefault="00AE4D58" w:rsidP="00AE4D58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A46598">
        <w:rPr>
          <w:b w:val="0"/>
          <w:sz w:val="28"/>
          <w:szCs w:val="28"/>
          <w:lang w:val="uk-UA"/>
        </w:rPr>
        <w:t xml:space="preserve">Заходи, що пропонуються для розв’язання  проблеми: </w:t>
      </w:r>
    </w:p>
    <w:p w:rsidR="005343D6" w:rsidRPr="00A46598" w:rsidRDefault="005343D6" w:rsidP="005343D6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uk-UA"/>
        </w:rPr>
      </w:pPr>
      <w:r w:rsidRPr="00A46598">
        <w:rPr>
          <w:b w:val="0"/>
          <w:sz w:val="28"/>
          <w:szCs w:val="28"/>
          <w:lang w:val="uk-UA"/>
        </w:rPr>
        <w:t> </w:t>
      </w:r>
      <w:r w:rsidR="005146B0" w:rsidRPr="00A46598">
        <w:rPr>
          <w:b w:val="0"/>
          <w:sz w:val="28"/>
          <w:szCs w:val="28"/>
          <w:lang w:val="uk-UA"/>
        </w:rPr>
        <w:t xml:space="preserve">погодження проекту </w:t>
      </w:r>
      <w:r w:rsidRPr="00A46598">
        <w:rPr>
          <w:b w:val="0"/>
          <w:sz w:val="28"/>
          <w:szCs w:val="28"/>
          <w:lang w:val="uk-UA"/>
        </w:rPr>
        <w:t>постанов</w:t>
      </w:r>
      <w:r w:rsidR="00D63475" w:rsidRPr="00A46598">
        <w:rPr>
          <w:b w:val="0"/>
          <w:sz w:val="28"/>
          <w:szCs w:val="28"/>
          <w:lang w:val="uk-UA"/>
        </w:rPr>
        <w:t>и</w:t>
      </w:r>
      <w:r w:rsidRPr="00A46598">
        <w:rPr>
          <w:b w:val="0"/>
          <w:sz w:val="28"/>
          <w:szCs w:val="28"/>
          <w:lang w:val="uk-UA"/>
        </w:rPr>
        <w:t xml:space="preserve"> Кабінету Міністрів України «Про внесення змін у додаток до постанови Кабінету Міністрі</w:t>
      </w:r>
      <w:r w:rsidR="005146B0" w:rsidRPr="00A46598">
        <w:rPr>
          <w:b w:val="0"/>
          <w:sz w:val="28"/>
          <w:szCs w:val="28"/>
          <w:lang w:val="uk-UA"/>
        </w:rPr>
        <w:t>в України від 20 грудня 2006 р. </w:t>
      </w:r>
      <w:r w:rsidRPr="00A46598">
        <w:rPr>
          <w:b w:val="0"/>
          <w:sz w:val="28"/>
          <w:szCs w:val="28"/>
          <w:lang w:val="uk-UA"/>
        </w:rPr>
        <w:t>№</w:t>
      </w:r>
      <w:r w:rsidR="005146B0" w:rsidRPr="00A46598">
        <w:rPr>
          <w:b w:val="0"/>
          <w:sz w:val="28"/>
          <w:szCs w:val="28"/>
          <w:lang w:val="uk-UA"/>
        </w:rPr>
        <w:t> </w:t>
      </w:r>
      <w:r w:rsidRPr="00A46598">
        <w:rPr>
          <w:b w:val="0"/>
          <w:sz w:val="28"/>
          <w:szCs w:val="28"/>
          <w:lang w:val="uk-UA"/>
        </w:rPr>
        <w:t>1765»</w:t>
      </w:r>
      <w:r w:rsidR="005146B0" w:rsidRPr="00A46598">
        <w:rPr>
          <w:b w:val="0"/>
          <w:sz w:val="28"/>
          <w:szCs w:val="28"/>
          <w:lang w:val="uk-UA"/>
        </w:rPr>
        <w:t xml:space="preserve"> </w:t>
      </w:r>
      <w:r w:rsidR="00D63475" w:rsidRPr="00A46598">
        <w:rPr>
          <w:b w:val="0"/>
          <w:sz w:val="28"/>
          <w:szCs w:val="28"/>
          <w:lang w:val="uk-UA"/>
        </w:rPr>
        <w:t xml:space="preserve">із </w:t>
      </w:r>
      <w:proofErr w:type="spellStart"/>
      <w:r w:rsidR="005146B0" w:rsidRPr="00A46598">
        <w:rPr>
          <w:b w:val="0"/>
          <w:sz w:val="28"/>
          <w:szCs w:val="28"/>
          <w:lang w:val="uk-UA"/>
        </w:rPr>
        <w:t>Мінеконом</w:t>
      </w:r>
      <w:r w:rsidR="00566B00" w:rsidRPr="00A46598">
        <w:rPr>
          <w:b w:val="0"/>
          <w:sz w:val="28"/>
          <w:szCs w:val="28"/>
          <w:lang w:val="uk-UA"/>
        </w:rPr>
        <w:t>розвитку</w:t>
      </w:r>
      <w:proofErr w:type="spellEnd"/>
      <w:r w:rsidR="005146B0" w:rsidRPr="00A46598">
        <w:rPr>
          <w:b w:val="0"/>
          <w:sz w:val="28"/>
          <w:szCs w:val="28"/>
          <w:lang w:val="uk-UA"/>
        </w:rPr>
        <w:t>, ДФС та ДРС, отримання правової експертизи Мін’юсту</w:t>
      </w:r>
      <w:r w:rsidRPr="00A46598">
        <w:rPr>
          <w:b w:val="0"/>
          <w:sz w:val="28"/>
          <w:szCs w:val="28"/>
          <w:lang w:val="uk-UA"/>
        </w:rPr>
        <w:t>;</w:t>
      </w:r>
    </w:p>
    <w:p w:rsidR="003403EB" w:rsidRPr="005146B0" w:rsidRDefault="005343D6" w:rsidP="005343D6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 </w:t>
      </w:r>
      <w:r w:rsidR="005146B0">
        <w:rPr>
          <w:b w:val="0"/>
          <w:sz w:val="28"/>
          <w:szCs w:val="28"/>
          <w:lang w:val="uk-UA"/>
        </w:rPr>
        <w:t xml:space="preserve">внесення проекту </w:t>
      </w:r>
      <w:r w:rsidRPr="00935F2A">
        <w:rPr>
          <w:b w:val="0"/>
          <w:sz w:val="28"/>
          <w:szCs w:val="28"/>
          <w:lang w:val="uk-UA"/>
        </w:rPr>
        <w:t>постанов</w:t>
      </w:r>
      <w:r w:rsidR="005146B0">
        <w:rPr>
          <w:b w:val="0"/>
          <w:sz w:val="28"/>
          <w:szCs w:val="28"/>
          <w:lang w:val="uk-UA"/>
        </w:rPr>
        <w:t>и</w:t>
      </w:r>
      <w:r w:rsidRPr="00935F2A">
        <w:rPr>
          <w:b w:val="0"/>
          <w:sz w:val="28"/>
          <w:szCs w:val="28"/>
          <w:lang w:val="uk-UA"/>
        </w:rPr>
        <w:t xml:space="preserve"> Кабінету Міністрів України «Про внесення змін у додаток до постанови Кабінету Міністрів України від 20 грудня 2006 р.</w:t>
      </w:r>
      <w:r w:rsidR="00644EDB">
        <w:rPr>
          <w:b w:val="0"/>
          <w:sz w:val="28"/>
          <w:szCs w:val="28"/>
          <w:lang w:val="uk-UA"/>
        </w:rPr>
        <w:t xml:space="preserve"> </w:t>
      </w:r>
      <w:r w:rsidRPr="00935F2A">
        <w:rPr>
          <w:b w:val="0"/>
          <w:sz w:val="28"/>
          <w:szCs w:val="28"/>
          <w:lang w:val="uk-UA"/>
        </w:rPr>
        <w:t>№ 1765»</w:t>
      </w:r>
      <w:r>
        <w:rPr>
          <w:b w:val="0"/>
          <w:sz w:val="28"/>
          <w:szCs w:val="28"/>
          <w:lang w:val="uk-UA"/>
        </w:rPr>
        <w:t xml:space="preserve"> </w:t>
      </w:r>
      <w:r w:rsidR="005146B0">
        <w:rPr>
          <w:b w:val="0"/>
          <w:sz w:val="28"/>
          <w:szCs w:val="28"/>
          <w:lang w:val="uk-UA"/>
        </w:rPr>
        <w:t>на розгляд Кабінету Міністрів України</w:t>
      </w:r>
      <w:r w:rsidR="003403EB">
        <w:rPr>
          <w:b w:val="0"/>
          <w:sz w:val="28"/>
          <w:szCs w:val="28"/>
          <w:lang w:val="uk-UA"/>
        </w:rPr>
        <w:t>;</w:t>
      </w:r>
    </w:p>
    <w:p w:rsidR="005343D6" w:rsidRPr="005343D6" w:rsidRDefault="005146B0" w:rsidP="005343D6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прийняття </w:t>
      </w:r>
      <w:r w:rsidRPr="00935F2A">
        <w:rPr>
          <w:b w:val="0"/>
          <w:sz w:val="28"/>
          <w:szCs w:val="28"/>
          <w:lang w:val="uk-UA"/>
        </w:rPr>
        <w:t>постанов</w:t>
      </w:r>
      <w:r>
        <w:rPr>
          <w:b w:val="0"/>
          <w:sz w:val="28"/>
          <w:szCs w:val="28"/>
          <w:lang w:val="uk-UA"/>
        </w:rPr>
        <w:t>и</w:t>
      </w:r>
      <w:r w:rsidRPr="00935F2A">
        <w:rPr>
          <w:b w:val="0"/>
          <w:sz w:val="28"/>
          <w:szCs w:val="28"/>
          <w:lang w:val="uk-UA"/>
        </w:rPr>
        <w:t xml:space="preserve"> Кабінету Міністрів України «Про внесення змін у додаток до постанови Кабінету Міністрі</w:t>
      </w:r>
      <w:r>
        <w:rPr>
          <w:b w:val="0"/>
          <w:sz w:val="28"/>
          <w:szCs w:val="28"/>
          <w:lang w:val="uk-UA"/>
        </w:rPr>
        <w:t>в України від 20 грудня 2006 р. </w:t>
      </w:r>
      <w:r w:rsidRPr="00935F2A">
        <w:rPr>
          <w:b w:val="0"/>
          <w:sz w:val="28"/>
          <w:szCs w:val="28"/>
          <w:lang w:val="uk-UA"/>
        </w:rPr>
        <w:t>№</w:t>
      </w:r>
      <w:r>
        <w:rPr>
          <w:b w:val="0"/>
          <w:sz w:val="28"/>
          <w:szCs w:val="28"/>
          <w:lang w:val="uk-UA"/>
        </w:rPr>
        <w:t> </w:t>
      </w:r>
      <w:r w:rsidRPr="00935F2A">
        <w:rPr>
          <w:b w:val="0"/>
          <w:sz w:val="28"/>
          <w:szCs w:val="28"/>
          <w:lang w:val="uk-UA"/>
        </w:rPr>
        <w:t>1765»</w:t>
      </w:r>
      <w:r w:rsidR="004A775F">
        <w:rPr>
          <w:b w:val="0"/>
          <w:sz w:val="28"/>
          <w:szCs w:val="28"/>
          <w:lang w:val="uk-UA"/>
        </w:rPr>
        <w:t xml:space="preserve">. </w:t>
      </w:r>
    </w:p>
    <w:p w:rsidR="009A4B38" w:rsidRDefault="009A4B38" w:rsidP="009A4B38">
      <w:pPr>
        <w:ind w:firstLine="709"/>
        <w:jc w:val="both"/>
        <w:rPr>
          <w:sz w:val="28"/>
          <w:szCs w:val="28"/>
          <w:lang w:val="uk-UA"/>
        </w:rPr>
      </w:pPr>
    </w:p>
    <w:p w:rsidR="009A4B38" w:rsidRPr="00AB5A19" w:rsidRDefault="009A4B38" w:rsidP="00F340A1">
      <w:pPr>
        <w:ind w:firstLine="709"/>
        <w:jc w:val="both"/>
        <w:rPr>
          <w:b/>
          <w:sz w:val="28"/>
          <w:szCs w:val="28"/>
          <w:lang w:val="uk-UA"/>
        </w:rPr>
      </w:pPr>
      <w:r w:rsidRPr="002F5FDA">
        <w:rPr>
          <w:b/>
          <w:sz w:val="28"/>
          <w:szCs w:val="28"/>
          <w:lang w:val="en-US"/>
        </w:rPr>
        <w:t>VI</w:t>
      </w:r>
      <w:r w:rsidRPr="00AC08A6">
        <w:rPr>
          <w:b/>
          <w:sz w:val="28"/>
          <w:szCs w:val="28"/>
          <w:lang w:val="uk-UA"/>
        </w:rPr>
        <w:t>.</w:t>
      </w:r>
      <w:r w:rsidR="00AB5A19">
        <w:rPr>
          <w:b/>
          <w:sz w:val="28"/>
          <w:szCs w:val="28"/>
          <w:lang w:val="uk-UA"/>
        </w:rPr>
        <w:t> </w:t>
      </w:r>
      <w:r w:rsidRPr="00AB5A19">
        <w:rPr>
          <w:b/>
          <w:sz w:val="28"/>
          <w:szCs w:val="28"/>
          <w:lang w:val="uk-UA"/>
        </w:rPr>
        <w:t>Оцінка виконання вимог регуляторного акта залежно від ресурсів,</w:t>
      </w:r>
      <w:r w:rsidR="00AB5A19" w:rsidRPr="00AB5A19">
        <w:rPr>
          <w:b/>
          <w:sz w:val="28"/>
          <w:szCs w:val="28"/>
          <w:lang w:val="uk-UA"/>
        </w:rPr>
        <w:t> </w:t>
      </w:r>
      <w:r w:rsidRPr="00AB5A19">
        <w:rPr>
          <w:b/>
          <w:sz w:val="28"/>
          <w:szCs w:val="28"/>
          <w:lang w:val="uk-UA"/>
        </w:rPr>
        <w:t xml:space="preserve">якими розпоряджаються органи виконавчої влади чи </w:t>
      </w:r>
      <w:proofErr w:type="gramStart"/>
      <w:r w:rsidRPr="00AB5A19">
        <w:rPr>
          <w:b/>
          <w:sz w:val="28"/>
          <w:szCs w:val="28"/>
          <w:lang w:val="uk-UA"/>
        </w:rPr>
        <w:t>органи  місцевого</w:t>
      </w:r>
      <w:proofErr w:type="gramEnd"/>
      <w:r w:rsidRPr="00AB5A19">
        <w:rPr>
          <w:b/>
          <w:sz w:val="28"/>
          <w:szCs w:val="28"/>
          <w:lang w:val="uk-UA"/>
        </w:rPr>
        <w:t xml:space="preserve"> самоврядування, фізичні та юридичні особи, які повинні проваджувати або виконувати ці вимоги</w:t>
      </w:r>
    </w:p>
    <w:p w:rsidR="009A4B38" w:rsidRDefault="009A4B38" w:rsidP="00F340A1">
      <w:pPr>
        <w:ind w:firstLine="709"/>
        <w:jc w:val="both"/>
        <w:rPr>
          <w:b/>
          <w:sz w:val="28"/>
          <w:szCs w:val="28"/>
          <w:lang w:val="uk-UA"/>
        </w:rPr>
      </w:pPr>
    </w:p>
    <w:p w:rsidR="009A4B38" w:rsidRPr="00AC08A6" w:rsidRDefault="009A4B38" w:rsidP="009A4B38">
      <w:pPr>
        <w:ind w:firstLine="709"/>
        <w:jc w:val="both"/>
        <w:rPr>
          <w:sz w:val="28"/>
          <w:szCs w:val="28"/>
          <w:lang w:val="uk-UA"/>
        </w:rPr>
      </w:pPr>
      <w:r w:rsidRPr="00AC08A6">
        <w:rPr>
          <w:sz w:val="28"/>
          <w:szCs w:val="28"/>
          <w:lang w:val="uk-UA"/>
        </w:rPr>
        <w:t xml:space="preserve">Для впровадження та виконання вимог регуляторного акта органи </w:t>
      </w:r>
      <w:r>
        <w:rPr>
          <w:sz w:val="28"/>
          <w:szCs w:val="28"/>
          <w:lang w:val="uk-UA"/>
        </w:rPr>
        <w:t>в</w:t>
      </w:r>
      <w:r w:rsidRPr="00AC08A6">
        <w:rPr>
          <w:sz w:val="28"/>
          <w:szCs w:val="28"/>
          <w:lang w:val="uk-UA"/>
        </w:rPr>
        <w:t>иконавчої влади</w:t>
      </w:r>
      <w:r w:rsidR="00B25A89">
        <w:rPr>
          <w:sz w:val="28"/>
          <w:szCs w:val="28"/>
          <w:lang w:val="uk-UA"/>
        </w:rPr>
        <w:t xml:space="preserve"> та </w:t>
      </w:r>
      <w:r w:rsidRPr="00AC08A6">
        <w:rPr>
          <w:sz w:val="28"/>
          <w:szCs w:val="28"/>
          <w:lang w:val="uk-UA"/>
        </w:rPr>
        <w:t>суб’єкти господарювання не нестимуть додаткових витра</w:t>
      </w:r>
      <w:r>
        <w:rPr>
          <w:sz w:val="28"/>
          <w:szCs w:val="28"/>
          <w:lang w:val="uk-UA"/>
        </w:rPr>
        <w:t>т.</w:t>
      </w:r>
    </w:p>
    <w:p w:rsidR="009A4B38" w:rsidRPr="002F5FDA" w:rsidRDefault="009A4B38" w:rsidP="009A4B38">
      <w:pPr>
        <w:ind w:firstLine="709"/>
        <w:jc w:val="center"/>
        <w:rPr>
          <w:b/>
          <w:sz w:val="28"/>
          <w:szCs w:val="28"/>
          <w:lang w:val="uk-UA"/>
        </w:rPr>
      </w:pPr>
    </w:p>
    <w:p w:rsidR="009A4B38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C39DA">
        <w:rPr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9A4B38" w:rsidRPr="00AE7AC7" w:rsidRDefault="009A4B38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9A4B38" w:rsidRDefault="009A4B38" w:rsidP="009A4B3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C39DA">
        <w:rPr>
          <w:sz w:val="28"/>
          <w:szCs w:val="28"/>
          <w:lang w:val="uk-UA"/>
        </w:rPr>
        <w:t xml:space="preserve">Термін дії є необмеженим, оскільки </w:t>
      </w:r>
      <w:r>
        <w:rPr>
          <w:sz w:val="28"/>
          <w:szCs w:val="28"/>
          <w:lang w:val="uk-UA"/>
        </w:rPr>
        <w:t>Кодекс та постанова Кабінету Міністрів України</w:t>
      </w:r>
      <w:r w:rsidRPr="000C39DA">
        <w:rPr>
          <w:sz w:val="28"/>
          <w:szCs w:val="28"/>
          <w:lang w:val="uk-UA"/>
        </w:rPr>
        <w:t xml:space="preserve">, на виконання </w:t>
      </w:r>
      <w:r>
        <w:rPr>
          <w:sz w:val="28"/>
          <w:szCs w:val="28"/>
          <w:lang w:val="uk-UA"/>
        </w:rPr>
        <w:t xml:space="preserve">яких </w:t>
      </w:r>
      <w:r w:rsidRPr="000C39DA">
        <w:rPr>
          <w:sz w:val="28"/>
          <w:szCs w:val="28"/>
          <w:lang w:val="uk-UA"/>
        </w:rPr>
        <w:t>розроблено проект</w:t>
      </w:r>
      <w:r>
        <w:rPr>
          <w:sz w:val="28"/>
          <w:szCs w:val="28"/>
          <w:lang w:val="uk-UA"/>
        </w:rPr>
        <w:t xml:space="preserve"> постанови</w:t>
      </w:r>
      <w:r w:rsidRPr="000C39DA">
        <w:rPr>
          <w:sz w:val="28"/>
          <w:szCs w:val="28"/>
          <w:lang w:val="uk-UA"/>
        </w:rPr>
        <w:t>, ма</w:t>
      </w:r>
      <w:r>
        <w:rPr>
          <w:sz w:val="28"/>
          <w:szCs w:val="28"/>
          <w:lang w:val="uk-UA"/>
        </w:rPr>
        <w:t>ють</w:t>
      </w:r>
      <w:r w:rsidRPr="000C39DA">
        <w:rPr>
          <w:sz w:val="28"/>
          <w:szCs w:val="28"/>
          <w:lang w:val="uk-UA"/>
        </w:rPr>
        <w:t xml:space="preserve"> необмежений термін дії.</w:t>
      </w:r>
    </w:p>
    <w:p w:rsidR="009A4B38" w:rsidRDefault="009A4B38" w:rsidP="009A4B3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9A4B38" w:rsidRPr="00D15EF8" w:rsidRDefault="009A4B38" w:rsidP="005146B0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9DA">
        <w:rPr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:rsidR="009A4B38" w:rsidRPr="00D15EF8" w:rsidRDefault="009A4B38" w:rsidP="009A4B38">
      <w:pPr>
        <w:pStyle w:val="3"/>
        <w:spacing w:before="0" w:beforeAutospacing="0" w:after="0" w:afterAutospacing="0"/>
        <w:rPr>
          <w:sz w:val="28"/>
          <w:szCs w:val="28"/>
        </w:rPr>
      </w:pPr>
    </w:p>
    <w:p w:rsidR="009A4B38" w:rsidRPr="00F4351D" w:rsidRDefault="009A4B38" w:rsidP="00D63475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0F448A">
        <w:rPr>
          <w:b w:val="0"/>
          <w:sz w:val="28"/>
          <w:szCs w:val="28"/>
          <w:lang w:val="uk-UA"/>
        </w:rPr>
        <w:t>Додаткових</w:t>
      </w:r>
      <w:r>
        <w:rPr>
          <w:b w:val="0"/>
          <w:sz w:val="28"/>
          <w:szCs w:val="28"/>
          <w:lang w:val="uk-UA"/>
        </w:rPr>
        <w:t xml:space="preserve"> надходжень до держбюджету не передбачається, оскільки норми регуляторного акта не запроваджують нових податків і зборів (обов’язкових платежів).</w:t>
      </w:r>
    </w:p>
    <w:p w:rsidR="009A4B38" w:rsidRPr="0009670B" w:rsidRDefault="009A4B38" w:rsidP="00D63475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Дія акта поширюється на </w:t>
      </w:r>
      <w:r w:rsidR="00B25A89">
        <w:rPr>
          <w:b w:val="0"/>
          <w:sz w:val="28"/>
          <w:szCs w:val="28"/>
          <w:lang w:val="uk-UA"/>
        </w:rPr>
        <w:t xml:space="preserve">всіх </w:t>
      </w:r>
      <w:r>
        <w:rPr>
          <w:b w:val="0"/>
          <w:sz w:val="28"/>
          <w:szCs w:val="28"/>
          <w:lang w:val="uk-UA"/>
        </w:rPr>
        <w:t>суб’єктів господарювання, що проводять зовнішньоекономічну діяльність.</w:t>
      </w:r>
    </w:p>
    <w:p w:rsidR="009A4B38" w:rsidRPr="008B5380" w:rsidRDefault="009A4B38" w:rsidP="00D63475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 Не передбачається додаткових витрат коштів і час </w:t>
      </w:r>
      <w:r w:rsidRPr="007477D4">
        <w:rPr>
          <w:b w:val="0"/>
          <w:sz w:val="28"/>
          <w:szCs w:val="28"/>
          <w:lang w:val="uk-UA"/>
        </w:rPr>
        <w:t>на реалізацію його норм.</w:t>
      </w:r>
    </w:p>
    <w:p w:rsidR="009A4B38" w:rsidRPr="008B5380" w:rsidRDefault="009A4B38" w:rsidP="00D63475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Рівень поінформованості платників податків оцінюється як середній.  </w:t>
      </w:r>
    </w:p>
    <w:p w:rsidR="00EE4A91" w:rsidRPr="00FC51F9" w:rsidRDefault="00EE4A91" w:rsidP="00EE4A91">
      <w:pPr>
        <w:pStyle w:val="ab"/>
        <w:ind w:firstLine="709"/>
        <w:jc w:val="both"/>
        <w:rPr>
          <w:rStyle w:val="FontStyle21"/>
          <w:sz w:val="28"/>
          <w:szCs w:val="28"/>
          <w:lang w:val="uk-UA"/>
        </w:rPr>
      </w:pPr>
      <w:r w:rsidRPr="00FC51F9">
        <w:rPr>
          <w:rStyle w:val="FontStyle21"/>
          <w:sz w:val="28"/>
          <w:szCs w:val="28"/>
          <w:lang w:val="uk-UA"/>
        </w:rPr>
        <w:t>Проект регуляторного акта розміщено на офіційному сайті Мінфіну (</w:t>
      </w:r>
      <w:hyperlink r:id="rId8" w:history="1">
        <w:r w:rsidRPr="00FC51F9">
          <w:rPr>
            <w:rStyle w:val="ac"/>
            <w:sz w:val="28"/>
            <w:szCs w:val="28"/>
            <w:lang w:val="uk-UA"/>
          </w:rPr>
          <w:t>www.minfin.gov.ua</w:t>
        </w:r>
      </w:hyperlink>
      <w:r w:rsidRPr="00FC51F9">
        <w:rPr>
          <w:rStyle w:val="FontStyle21"/>
          <w:sz w:val="28"/>
          <w:szCs w:val="28"/>
          <w:lang w:val="uk-UA"/>
        </w:rPr>
        <w:t>) та після прийняття, буде опублікований в офіційних джерелах.</w:t>
      </w:r>
    </w:p>
    <w:p w:rsidR="00EE4A91" w:rsidRPr="00FC51F9" w:rsidRDefault="00EE4A91" w:rsidP="00EE4A91">
      <w:pPr>
        <w:pStyle w:val="ab"/>
        <w:ind w:firstLine="709"/>
        <w:jc w:val="both"/>
        <w:rPr>
          <w:sz w:val="28"/>
          <w:szCs w:val="28"/>
          <w:lang w:val="uk-UA"/>
        </w:rPr>
      </w:pPr>
      <w:r w:rsidRPr="00FC51F9">
        <w:rPr>
          <w:sz w:val="28"/>
          <w:szCs w:val="28"/>
          <w:lang w:val="uk-UA"/>
        </w:rPr>
        <w:t xml:space="preserve">Також, результативність акта відстежуватиметься шляхом аналізу скарг, звернень, листів від суб’єктів зовнішньоекономічної діяльності щодо </w:t>
      </w:r>
      <w:r>
        <w:rPr>
          <w:sz w:val="28"/>
          <w:szCs w:val="28"/>
          <w:lang w:val="uk-UA"/>
        </w:rPr>
        <w:t>змін</w:t>
      </w:r>
      <w:r w:rsidR="002D29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D295C">
        <w:rPr>
          <w:sz w:val="28"/>
          <w:szCs w:val="28"/>
          <w:lang w:val="uk-UA"/>
        </w:rPr>
        <w:t xml:space="preserve">запропонованих регуляторним актом, </w:t>
      </w:r>
      <w:r>
        <w:rPr>
          <w:sz w:val="28"/>
          <w:szCs w:val="28"/>
          <w:lang w:val="uk-UA"/>
        </w:rPr>
        <w:t xml:space="preserve">з </w:t>
      </w:r>
      <w:r w:rsidRPr="00806B4C">
        <w:rPr>
          <w:bCs/>
          <w:sz w:val="28"/>
          <w:szCs w:val="28"/>
          <w:lang w:val="uk-UA"/>
        </w:rPr>
        <w:t xml:space="preserve">приведення </w:t>
      </w:r>
      <w:r w:rsidRPr="00806B4C">
        <w:rPr>
          <w:rFonts w:eastAsia="Calibri"/>
          <w:sz w:val="28"/>
          <w:szCs w:val="28"/>
          <w:lang w:val="uk-UA" w:eastAsia="en-US"/>
        </w:rPr>
        <w:t>переліку виробничих і технологічних операцій, за якими визначається країна походження товару</w:t>
      </w:r>
      <w:r w:rsidR="002D295C">
        <w:rPr>
          <w:rFonts w:eastAsia="Calibri"/>
          <w:sz w:val="28"/>
          <w:szCs w:val="28"/>
          <w:lang w:val="uk-UA" w:eastAsia="en-US"/>
        </w:rPr>
        <w:t>,</w:t>
      </w:r>
      <w:r w:rsidR="002D295C" w:rsidRPr="002D295C">
        <w:rPr>
          <w:rFonts w:eastAsia="Calibri"/>
          <w:sz w:val="28"/>
          <w:szCs w:val="28"/>
          <w:lang w:val="uk-UA" w:eastAsia="en-US"/>
        </w:rPr>
        <w:t xml:space="preserve"> </w:t>
      </w:r>
      <w:r w:rsidR="002D295C" w:rsidRPr="00806B4C">
        <w:rPr>
          <w:rFonts w:eastAsia="Calibri"/>
          <w:sz w:val="28"/>
          <w:szCs w:val="28"/>
          <w:lang w:val="uk-UA" w:eastAsia="en-US"/>
        </w:rPr>
        <w:t>у відповідність</w:t>
      </w:r>
      <w:r w:rsidR="002D295C">
        <w:rPr>
          <w:rFonts w:eastAsia="Calibri"/>
          <w:sz w:val="28"/>
          <w:szCs w:val="28"/>
          <w:lang w:val="uk-UA" w:eastAsia="en-US"/>
        </w:rPr>
        <w:t xml:space="preserve"> із законодавством ЄС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EE4A91" w:rsidRDefault="00EE4A91" w:rsidP="00D63475">
      <w:pPr>
        <w:pStyle w:val="3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</w:p>
    <w:p w:rsidR="009A4B38" w:rsidRDefault="009A4B38" w:rsidP="005146B0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9025A">
        <w:rPr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9A4B38" w:rsidRDefault="009A4B38" w:rsidP="009A4B38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E06B41" w:rsidRPr="00A46598" w:rsidRDefault="00E06B41" w:rsidP="009A4B38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Стосовно регуляторного акта  уповноваженим  органом виконавчої влади  здійс</w:t>
      </w:r>
      <w:r w:rsidR="001611DD">
        <w:rPr>
          <w:sz w:val="28"/>
          <w:szCs w:val="28"/>
          <w:lang w:val="uk-UA"/>
        </w:rPr>
        <w:t xml:space="preserve">нюватимуться базове, повторне та періодичні відстеження  результативності регуляторного акта  у </w:t>
      </w:r>
      <w:r w:rsidR="001611DD" w:rsidRPr="00A46598">
        <w:rPr>
          <w:sz w:val="28"/>
          <w:szCs w:val="28"/>
          <w:lang w:val="uk-UA"/>
        </w:rPr>
        <w:t>строки</w:t>
      </w:r>
      <w:r w:rsidR="00772ED9" w:rsidRPr="00A46598">
        <w:rPr>
          <w:sz w:val="28"/>
          <w:szCs w:val="28"/>
          <w:lang w:val="uk-UA"/>
        </w:rPr>
        <w:t>,</w:t>
      </w:r>
      <w:r w:rsidR="001611DD" w:rsidRPr="00A46598">
        <w:rPr>
          <w:sz w:val="28"/>
          <w:szCs w:val="28"/>
          <w:lang w:val="uk-UA"/>
        </w:rPr>
        <w:t xml:space="preserve"> встановлені статтею  10  Закону </w:t>
      </w:r>
      <w:r w:rsidR="001611DD" w:rsidRPr="00A46598">
        <w:rPr>
          <w:sz w:val="28"/>
          <w:szCs w:val="28"/>
          <w:lang w:val="uk-UA"/>
        </w:rPr>
        <w:lastRenderedPageBreak/>
        <w:t xml:space="preserve">України «Про засади  державної  регуляторної політики у сфері  господарської діяльності»  шляхом  аналізу  статистичних даних. </w:t>
      </w:r>
    </w:p>
    <w:p w:rsidR="009A4B38" w:rsidRPr="00A46598" w:rsidRDefault="009A4B38" w:rsidP="00772ED9">
      <w:pPr>
        <w:widowControl w:val="0"/>
        <w:tabs>
          <w:tab w:val="left" w:pos="1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A46598">
        <w:rPr>
          <w:sz w:val="28"/>
          <w:szCs w:val="28"/>
          <w:lang w:val="uk-UA"/>
        </w:rPr>
        <w:t xml:space="preserve">Базове відстеження результативності регуляторного акта буде </w:t>
      </w:r>
      <w:r w:rsidR="001611DD" w:rsidRPr="00A46598">
        <w:rPr>
          <w:sz w:val="28"/>
          <w:szCs w:val="28"/>
          <w:lang w:val="uk-UA"/>
        </w:rPr>
        <w:t xml:space="preserve">проводитись з використанням статистичного методу </w:t>
      </w:r>
      <w:r w:rsidR="0003032F" w:rsidRPr="00A46598">
        <w:rPr>
          <w:sz w:val="28"/>
          <w:szCs w:val="28"/>
          <w:lang w:val="uk-UA"/>
        </w:rPr>
        <w:t xml:space="preserve">за допомогою інформаційних систем ДФС </w:t>
      </w:r>
      <w:r w:rsidR="00CA49D2" w:rsidRPr="00A46598">
        <w:rPr>
          <w:sz w:val="28"/>
          <w:szCs w:val="28"/>
          <w:lang w:val="uk-UA" w:eastAsia="uk-UA"/>
        </w:rPr>
        <w:t>через рік після набрання чинності постановою.</w:t>
      </w:r>
    </w:p>
    <w:p w:rsidR="009A4B38" w:rsidRPr="00A46598" w:rsidRDefault="009A4B38" w:rsidP="009A4B3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A46598">
        <w:rPr>
          <w:sz w:val="28"/>
          <w:szCs w:val="28"/>
          <w:lang w:val="uk-UA"/>
        </w:rPr>
        <w:t xml:space="preserve">Повторне відстеження </w:t>
      </w:r>
      <w:r w:rsidR="0003032F" w:rsidRPr="00A46598">
        <w:rPr>
          <w:sz w:val="28"/>
          <w:szCs w:val="28"/>
          <w:lang w:val="uk-UA"/>
        </w:rPr>
        <w:t xml:space="preserve">буде </w:t>
      </w:r>
      <w:r w:rsidR="000924B2" w:rsidRPr="00A46598">
        <w:rPr>
          <w:sz w:val="28"/>
          <w:szCs w:val="28"/>
          <w:lang w:val="uk-UA"/>
        </w:rPr>
        <w:t>здійснюватися</w:t>
      </w:r>
      <w:r w:rsidRPr="00A46598">
        <w:rPr>
          <w:sz w:val="28"/>
          <w:szCs w:val="28"/>
          <w:lang w:val="uk-UA"/>
        </w:rPr>
        <w:t xml:space="preserve"> через два роки з дня набрання чинності</w:t>
      </w:r>
      <w:r w:rsidR="000924B2" w:rsidRPr="00A46598">
        <w:rPr>
          <w:sz w:val="28"/>
          <w:szCs w:val="28"/>
          <w:lang w:val="uk-UA"/>
        </w:rPr>
        <w:t xml:space="preserve"> регуляторним актом</w:t>
      </w:r>
      <w:r w:rsidRPr="00A46598">
        <w:rPr>
          <w:sz w:val="28"/>
          <w:szCs w:val="28"/>
          <w:lang w:val="uk-UA"/>
        </w:rPr>
        <w:t>, в результаті яко</w:t>
      </w:r>
      <w:r w:rsidR="000924B2" w:rsidRPr="00A46598">
        <w:rPr>
          <w:sz w:val="28"/>
          <w:szCs w:val="28"/>
          <w:lang w:val="uk-UA"/>
        </w:rPr>
        <w:t>го</w:t>
      </w:r>
      <w:r w:rsidRPr="00A46598">
        <w:rPr>
          <w:sz w:val="28"/>
          <w:szCs w:val="28"/>
          <w:lang w:val="uk-UA"/>
        </w:rPr>
        <w:t xml:space="preserve"> відбудеться порівняння  показників базового та повторного відстеження. </w:t>
      </w:r>
    </w:p>
    <w:p w:rsidR="0003032F" w:rsidRPr="00A46598" w:rsidRDefault="009A4B38" w:rsidP="009A4B3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A46598">
        <w:rPr>
          <w:sz w:val="28"/>
          <w:szCs w:val="28"/>
          <w:lang w:val="uk-UA"/>
        </w:rPr>
        <w:t>Періодичне відстеження здійснювати</w:t>
      </w:r>
      <w:r w:rsidR="0003032F" w:rsidRPr="00A46598">
        <w:rPr>
          <w:sz w:val="28"/>
          <w:szCs w:val="28"/>
          <w:lang w:val="uk-UA"/>
        </w:rPr>
        <w:t xml:space="preserve">меться </w:t>
      </w:r>
      <w:r w:rsidRPr="00A46598">
        <w:rPr>
          <w:sz w:val="28"/>
          <w:szCs w:val="28"/>
          <w:lang w:val="uk-UA"/>
        </w:rPr>
        <w:t xml:space="preserve"> раз на три роки</w:t>
      </w:r>
      <w:r w:rsidR="0003032F" w:rsidRPr="00A46598">
        <w:rPr>
          <w:sz w:val="28"/>
          <w:szCs w:val="28"/>
          <w:lang w:val="uk-UA"/>
        </w:rPr>
        <w:t>,</w:t>
      </w:r>
      <w:r w:rsidRPr="00A46598">
        <w:rPr>
          <w:sz w:val="28"/>
          <w:szCs w:val="28"/>
          <w:lang w:val="uk-UA"/>
        </w:rPr>
        <w:t xml:space="preserve"> </w:t>
      </w:r>
      <w:r w:rsidR="0003032F" w:rsidRPr="00A46598">
        <w:rPr>
          <w:sz w:val="28"/>
          <w:szCs w:val="28"/>
          <w:lang w:val="uk-UA"/>
        </w:rPr>
        <w:t>п</w:t>
      </w:r>
      <w:r w:rsidRPr="00A46598">
        <w:rPr>
          <w:sz w:val="28"/>
          <w:szCs w:val="28"/>
          <w:lang w:val="uk-UA"/>
        </w:rPr>
        <w:t>очинаючи  з дня виконання заходів з повторного відстеження</w:t>
      </w:r>
      <w:r w:rsidR="0003032F" w:rsidRPr="00A46598">
        <w:rPr>
          <w:sz w:val="28"/>
          <w:szCs w:val="28"/>
          <w:lang w:val="uk-UA"/>
        </w:rPr>
        <w:t xml:space="preserve"> результативності. </w:t>
      </w:r>
      <w:r w:rsidRPr="00A46598">
        <w:rPr>
          <w:sz w:val="28"/>
          <w:szCs w:val="28"/>
          <w:lang w:val="uk-UA"/>
        </w:rPr>
        <w:t xml:space="preserve"> Установлені кількісні значення показників результативності акта буду</w:t>
      </w:r>
      <w:r w:rsidR="00772ED9" w:rsidRPr="00A46598">
        <w:rPr>
          <w:sz w:val="28"/>
          <w:szCs w:val="28"/>
          <w:lang w:val="uk-UA"/>
        </w:rPr>
        <w:t xml:space="preserve">ть порівнюватися із значеннями аналогічних показників, встановлених під час повторного </w:t>
      </w:r>
      <w:r w:rsidRPr="00A46598">
        <w:rPr>
          <w:sz w:val="28"/>
          <w:szCs w:val="28"/>
          <w:lang w:val="uk-UA"/>
        </w:rPr>
        <w:t xml:space="preserve">відстеження.  </w:t>
      </w:r>
    </w:p>
    <w:p w:rsidR="000924B2" w:rsidRPr="00A46598" w:rsidRDefault="00772ED9" w:rsidP="009A4B3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A46598">
        <w:rPr>
          <w:sz w:val="28"/>
          <w:szCs w:val="28"/>
          <w:lang w:val="uk-UA"/>
        </w:rPr>
        <w:t xml:space="preserve">Метод </w:t>
      </w:r>
      <w:r w:rsidR="0003032F" w:rsidRPr="00A46598">
        <w:rPr>
          <w:sz w:val="28"/>
          <w:szCs w:val="28"/>
          <w:lang w:val="uk-UA"/>
        </w:rPr>
        <w:t xml:space="preserve">проведення </w:t>
      </w:r>
      <w:r w:rsidRPr="00A46598">
        <w:rPr>
          <w:sz w:val="28"/>
          <w:szCs w:val="28"/>
          <w:lang w:val="uk-UA"/>
        </w:rPr>
        <w:t xml:space="preserve">відстеження результативності – </w:t>
      </w:r>
      <w:r w:rsidR="0003032F" w:rsidRPr="00A46598">
        <w:rPr>
          <w:sz w:val="28"/>
          <w:szCs w:val="28"/>
          <w:lang w:val="uk-UA"/>
        </w:rPr>
        <w:t>статистичний</w:t>
      </w:r>
      <w:r w:rsidR="000924B2" w:rsidRPr="00A46598">
        <w:rPr>
          <w:sz w:val="28"/>
          <w:szCs w:val="28"/>
          <w:lang w:val="uk-UA"/>
        </w:rPr>
        <w:t>.</w:t>
      </w:r>
    </w:p>
    <w:p w:rsidR="009A4B38" w:rsidRPr="00A46598" w:rsidRDefault="000924B2" w:rsidP="009A4B3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A46598">
        <w:rPr>
          <w:sz w:val="28"/>
          <w:szCs w:val="28"/>
          <w:lang w:val="uk-UA"/>
        </w:rPr>
        <w:t>Вид даних, за допомогою яких здійснюватиметься відстеження результативності,</w:t>
      </w:r>
      <w:r w:rsidR="0003032F" w:rsidRPr="00A46598">
        <w:rPr>
          <w:sz w:val="28"/>
          <w:szCs w:val="28"/>
          <w:lang w:val="uk-UA"/>
        </w:rPr>
        <w:t xml:space="preserve"> </w:t>
      </w:r>
      <w:r w:rsidR="00772ED9" w:rsidRPr="00A46598">
        <w:rPr>
          <w:sz w:val="28"/>
          <w:szCs w:val="28"/>
          <w:lang w:val="uk-UA"/>
        </w:rPr>
        <w:t xml:space="preserve">– </w:t>
      </w:r>
      <w:r w:rsidRPr="00A46598">
        <w:rPr>
          <w:sz w:val="28"/>
          <w:szCs w:val="28"/>
          <w:lang w:val="uk-UA"/>
        </w:rPr>
        <w:t>статистичні.</w:t>
      </w:r>
      <w:r w:rsidR="009A4B38" w:rsidRPr="00A46598">
        <w:rPr>
          <w:sz w:val="28"/>
          <w:szCs w:val="28"/>
          <w:lang w:val="uk-UA"/>
        </w:rPr>
        <w:t xml:space="preserve"> </w:t>
      </w:r>
    </w:p>
    <w:p w:rsidR="009A4B38" w:rsidRPr="00A46598" w:rsidRDefault="009A4B38" w:rsidP="009A4B3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46598">
        <w:rPr>
          <w:sz w:val="28"/>
          <w:szCs w:val="28"/>
          <w:lang w:val="uk-UA"/>
        </w:rPr>
        <w:t>У разі виявлення неврегульованих та/або проблемних питань на підставі аналізу зауважень та пропозицій державних органів,</w:t>
      </w:r>
      <w:r w:rsidR="0003032F" w:rsidRPr="00A46598">
        <w:rPr>
          <w:sz w:val="28"/>
          <w:szCs w:val="28"/>
          <w:lang w:val="uk-UA"/>
        </w:rPr>
        <w:t xml:space="preserve"> </w:t>
      </w:r>
      <w:r w:rsidR="00772ED9" w:rsidRPr="00A46598">
        <w:rPr>
          <w:sz w:val="28"/>
          <w:szCs w:val="28"/>
          <w:lang w:val="uk-UA"/>
        </w:rPr>
        <w:t>а також</w:t>
      </w:r>
      <w:r w:rsidR="0003032F" w:rsidRPr="00A46598">
        <w:rPr>
          <w:sz w:val="28"/>
          <w:szCs w:val="28"/>
          <w:lang w:val="uk-UA"/>
        </w:rPr>
        <w:t xml:space="preserve"> </w:t>
      </w:r>
      <w:r w:rsidRPr="00A46598">
        <w:rPr>
          <w:sz w:val="28"/>
          <w:szCs w:val="28"/>
          <w:lang w:val="uk-UA"/>
        </w:rPr>
        <w:t xml:space="preserve">суб’єктів господарювання ці питання будуть врегульовані шляхом </w:t>
      </w:r>
      <w:r w:rsidR="00772ED9" w:rsidRPr="00A46598">
        <w:rPr>
          <w:sz w:val="28"/>
          <w:szCs w:val="28"/>
          <w:lang w:val="uk-UA"/>
        </w:rPr>
        <w:t xml:space="preserve"> </w:t>
      </w:r>
      <w:bookmarkStart w:id="0" w:name="_GoBack"/>
      <w:r w:rsidR="00772ED9" w:rsidRPr="00A46598">
        <w:rPr>
          <w:sz w:val="28"/>
          <w:szCs w:val="28"/>
          <w:lang w:val="uk-UA"/>
        </w:rPr>
        <w:t>в</w:t>
      </w:r>
      <w:bookmarkEnd w:id="0"/>
      <w:r w:rsidRPr="00A46598">
        <w:rPr>
          <w:sz w:val="28"/>
          <w:szCs w:val="28"/>
          <w:lang w:val="uk-UA"/>
        </w:rPr>
        <w:t>несення відповідних змін.</w:t>
      </w:r>
    </w:p>
    <w:p w:rsidR="009A4B38" w:rsidRPr="00A46598" w:rsidRDefault="009A4B38" w:rsidP="009A4B38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9A4B38" w:rsidRPr="00A46598" w:rsidRDefault="009A4B38" w:rsidP="009A4B38">
      <w:pPr>
        <w:rPr>
          <w:sz w:val="28"/>
          <w:szCs w:val="28"/>
          <w:lang w:val="uk-UA"/>
        </w:rPr>
      </w:pPr>
    </w:p>
    <w:p w:rsidR="00AB5A19" w:rsidRPr="00A46598" w:rsidRDefault="00AB5A19" w:rsidP="009A4B38">
      <w:pPr>
        <w:rPr>
          <w:sz w:val="28"/>
          <w:szCs w:val="28"/>
          <w:lang w:val="uk-UA"/>
        </w:rPr>
      </w:pPr>
    </w:p>
    <w:p w:rsidR="009A4B38" w:rsidRPr="00A46598" w:rsidRDefault="009A4B38" w:rsidP="009A4B38">
      <w:pPr>
        <w:rPr>
          <w:lang w:val="uk-UA"/>
        </w:rPr>
      </w:pPr>
      <w:r w:rsidRPr="00A46598">
        <w:rPr>
          <w:b/>
          <w:sz w:val="28"/>
          <w:szCs w:val="28"/>
          <w:lang w:val="uk-UA"/>
        </w:rPr>
        <w:t>В.</w:t>
      </w:r>
      <w:r w:rsidR="00A40465" w:rsidRPr="00A46598">
        <w:rPr>
          <w:b/>
          <w:sz w:val="28"/>
          <w:szCs w:val="28"/>
          <w:lang w:val="uk-UA"/>
        </w:rPr>
        <w:t> </w:t>
      </w:r>
      <w:r w:rsidRPr="00A46598">
        <w:rPr>
          <w:b/>
          <w:sz w:val="28"/>
          <w:szCs w:val="28"/>
          <w:lang w:val="uk-UA"/>
        </w:rPr>
        <w:t xml:space="preserve">о. Міністра фінансів України              </w:t>
      </w:r>
      <w:r w:rsidR="00AB5A19" w:rsidRPr="00A46598">
        <w:rPr>
          <w:b/>
          <w:sz w:val="28"/>
          <w:szCs w:val="28"/>
          <w:lang w:val="uk-UA"/>
        </w:rPr>
        <w:t xml:space="preserve">  </w:t>
      </w:r>
      <w:r w:rsidRPr="00A46598">
        <w:rPr>
          <w:b/>
          <w:sz w:val="28"/>
          <w:szCs w:val="28"/>
          <w:lang w:val="uk-UA"/>
        </w:rPr>
        <w:t xml:space="preserve">        </w:t>
      </w:r>
      <w:r w:rsidRPr="00C015D7">
        <w:rPr>
          <w:b/>
          <w:sz w:val="28"/>
          <w:szCs w:val="28"/>
          <w:lang w:val="uk-UA"/>
        </w:rPr>
        <w:t xml:space="preserve"> </w:t>
      </w:r>
      <w:r w:rsidR="00D944D0" w:rsidRPr="00C015D7">
        <w:rPr>
          <w:b/>
          <w:sz w:val="28"/>
          <w:szCs w:val="28"/>
          <w:lang w:val="uk-UA"/>
        </w:rPr>
        <w:t xml:space="preserve"> </w:t>
      </w:r>
      <w:r w:rsidRPr="00C015D7">
        <w:rPr>
          <w:b/>
          <w:sz w:val="28"/>
          <w:szCs w:val="28"/>
          <w:lang w:val="uk-UA"/>
        </w:rPr>
        <w:t xml:space="preserve">  </w:t>
      </w:r>
      <w:r w:rsidR="00A40465" w:rsidRPr="00A46598">
        <w:rPr>
          <w:b/>
          <w:sz w:val="28"/>
          <w:szCs w:val="28"/>
          <w:lang w:val="uk-UA"/>
        </w:rPr>
        <w:t xml:space="preserve">                  </w:t>
      </w:r>
      <w:r w:rsidR="00C015D7">
        <w:rPr>
          <w:b/>
          <w:sz w:val="28"/>
          <w:szCs w:val="28"/>
          <w:lang w:val="uk-UA"/>
        </w:rPr>
        <w:t xml:space="preserve">     </w:t>
      </w:r>
      <w:r w:rsidR="00A40465" w:rsidRPr="00A46598">
        <w:rPr>
          <w:b/>
          <w:sz w:val="28"/>
          <w:szCs w:val="28"/>
          <w:lang w:val="uk-UA"/>
        </w:rPr>
        <w:t xml:space="preserve">  </w:t>
      </w:r>
      <w:r w:rsidR="00C015D7">
        <w:rPr>
          <w:b/>
          <w:sz w:val="28"/>
          <w:szCs w:val="28"/>
          <w:lang w:val="uk-UA"/>
        </w:rPr>
        <w:t>Ю. ГЕЛЕТІЙ</w:t>
      </w:r>
    </w:p>
    <w:p w:rsidR="00B504C6" w:rsidRPr="00A46598" w:rsidRDefault="00B504C6">
      <w:pPr>
        <w:rPr>
          <w:lang w:val="uk-UA"/>
        </w:rPr>
      </w:pPr>
    </w:p>
    <w:sectPr w:rsidR="00B504C6" w:rsidRPr="00A46598" w:rsidSect="00A40465">
      <w:headerReference w:type="default" r:id="rId9"/>
      <w:pgSz w:w="11906" w:h="16838"/>
      <w:pgMar w:top="992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69" w:rsidRDefault="00103A69">
      <w:r>
        <w:separator/>
      </w:r>
    </w:p>
  </w:endnote>
  <w:endnote w:type="continuationSeparator" w:id="0">
    <w:p w:rsidR="00103A69" w:rsidRDefault="0010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69" w:rsidRDefault="00103A69">
      <w:r>
        <w:separator/>
      </w:r>
    </w:p>
  </w:footnote>
  <w:footnote w:type="continuationSeparator" w:id="0">
    <w:p w:rsidR="00103A69" w:rsidRDefault="00103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179995"/>
      <w:docPartObj>
        <w:docPartGallery w:val="Page Numbers (Top of Page)"/>
        <w:docPartUnique/>
      </w:docPartObj>
    </w:sdtPr>
    <w:sdtContent>
      <w:p w:rsidR="00177ADA" w:rsidRDefault="002E0FE3">
        <w:pPr>
          <w:pStyle w:val="a5"/>
          <w:jc w:val="center"/>
        </w:pPr>
        <w:r>
          <w:fldChar w:fldCharType="begin"/>
        </w:r>
        <w:r w:rsidR="00AB5A19">
          <w:instrText>PAGE   \* MERGEFORMAT</w:instrText>
        </w:r>
        <w:r>
          <w:fldChar w:fldCharType="separate"/>
        </w:r>
        <w:r w:rsidR="00C015D7">
          <w:rPr>
            <w:noProof/>
          </w:rPr>
          <w:t>7</w:t>
        </w:r>
        <w:r>
          <w:fldChar w:fldCharType="end"/>
        </w:r>
      </w:p>
    </w:sdtContent>
  </w:sdt>
  <w:p w:rsidR="00177ADA" w:rsidRDefault="00103A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95B"/>
    <w:multiLevelType w:val="hybridMultilevel"/>
    <w:tmpl w:val="252A2A0A"/>
    <w:lvl w:ilvl="0" w:tplc="2FEA72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C67B8"/>
    <w:multiLevelType w:val="hybridMultilevel"/>
    <w:tmpl w:val="C928923A"/>
    <w:lvl w:ilvl="0" w:tplc="6B204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651F1"/>
    <w:multiLevelType w:val="hybridMultilevel"/>
    <w:tmpl w:val="BB203A92"/>
    <w:lvl w:ilvl="0" w:tplc="45C618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B30DD1"/>
    <w:multiLevelType w:val="hybridMultilevel"/>
    <w:tmpl w:val="7438FE5C"/>
    <w:lvl w:ilvl="0" w:tplc="901C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38"/>
    <w:rsid w:val="00001698"/>
    <w:rsid w:val="0003032F"/>
    <w:rsid w:val="000451E8"/>
    <w:rsid w:val="0005639A"/>
    <w:rsid w:val="000924B2"/>
    <w:rsid w:val="000B6437"/>
    <w:rsid w:val="00103A69"/>
    <w:rsid w:val="001611DD"/>
    <w:rsid w:val="00184687"/>
    <w:rsid w:val="00185D6E"/>
    <w:rsid w:val="00186682"/>
    <w:rsid w:val="001D7D08"/>
    <w:rsid w:val="002727EE"/>
    <w:rsid w:val="002841E0"/>
    <w:rsid w:val="002C4AFB"/>
    <w:rsid w:val="002D295C"/>
    <w:rsid w:val="002E0FE3"/>
    <w:rsid w:val="002F399D"/>
    <w:rsid w:val="0031005A"/>
    <w:rsid w:val="003403EB"/>
    <w:rsid w:val="003547B4"/>
    <w:rsid w:val="00367BB7"/>
    <w:rsid w:val="003A0B73"/>
    <w:rsid w:val="003A516F"/>
    <w:rsid w:val="003B742C"/>
    <w:rsid w:val="003C5037"/>
    <w:rsid w:val="00400E32"/>
    <w:rsid w:val="0042352A"/>
    <w:rsid w:val="0047148D"/>
    <w:rsid w:val="004A3107"/>
    <w:rsid w:val="004A775F"/>
    <w:rsid w:val="004E63AD"/>
    <w:rsid w:val="005146B0"/>
    <w:rsid w:val="005343D6"/>
    <w:rsid w:val="00566B00"/>
    <w:rsid w:val="005B3AC3"/>
    <w:rsid w:val="00613FE1"/>
    <w:rsid w:val="00644EDB"/>
    <w:rsid w:val="00654CAC"/>
    <w:rsid w:val="006804AC"/>
    <w:rsid w:val="006A14CA"/>
    <w:rsid w:val="006C23C6"/>
    <w:rsid w:val="00707417"/>
    <w:rsid w:val="007076DC"/>
    <w:rsid w:val="00772ED9"/>
    <w:rsid w:val="007962F6"/>
    <w:rsid w:val="007B78C8"/>
    <w:rsid w:val="007F32BB"/>
    <w:rsid w:val="007F5444"/>
    <w:rsid w:val="008D4896"/>
    <w:rsid w:val="00960AC8"/>
    <w:rsid w:val="0099087D"/>
    <w:rsid w:val="009947F7"/>
    <w:rsid w:val="009A4B38"/>
    <w:rsid w:val="009A6ADD"/>
    <w:rsid w:val="009B27AB"/>
    <w:rsid w:val="00A40465"/>
    <w:rsid w:val="00A46598"/>
    <w:rsid w:val="00A77B71"/>
    <w:rsid w:val="00A811A4"/>
    <w:rsid w:val="00AA18E7"/>
    <w:rsid w:val="00AB5A19"/>
    <w:rsid w:val="00AE4D58"/>
    <w:rsid w:val="00B15285"/>
    <w:rsid w:val="00B2226A"/>
    <w:rsid w:val="00B25A89"/>
    <w:rsid w:val="00B27964"/>
    <w:rsid w:val="00B504C6"/>
    <w:rsid w:val="00B85EC8"/>
    <w:rsid w:val="00BB02D4"/>
    <w:rsid w:val="00C015D7"/>
    <w:rsid w:val="00C119FC"/>
    <w:rsid w:val="00C33F6F"/>
    <w:rsid w:val="00C81479"/>
    <w:rsid w:val="00CA49D2"/>
    <w:rsid w:val="00CD79E8"/>
    <w:rsid w:val="00CF15E2"/>
    <w:rsid w:val="00D63475"/>
    <w:rsid w:val="00D72843"/>
    <w:rsid w:val="00D76D52"/>
    <w:rsid w:val="00D944D0"/>
    <w:rsid w:val="00DF4D56"/>
    <w:rsid w:val="00E040C4"/>
    <w:rsid w:val="00E06B41"/>
    <w:rsid w:val="00E3564C"/>
    <w:rsid w:val="00E42C8E"/>
    <w:rsid w:val="00E5648A"/>
    <w:rsid w:val="00EE4A91"/>
    <w:rsid w:val="00F1462A"/>
    <w:rsid w:val="00F340A1"/>
    <w:rsid w:val="00F8022D"/>
    <w:rsid w:val="00FE0BF2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A4B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B3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9A4B38"/>
    <w:pPr>
      <w:spacing w:before="100" w:beforeAutospacing="1" w:after="100" w:afterAutospacing="1"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uiPriority w:val="99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A4B3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Default">
    <w:name w:val="Default"/>
    <w:rsid w:val="009A4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A4B3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A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A4B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68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8468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21">
    <w:name w:val="Font Style21"/>
    <w:uiPriority w:val="99"/>
    <w:rsid w:val="00EE4A91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EE4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EE4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C931-28C3-46AD-B741-7796F1B4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8407</Words>
  <Characters>4792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РИММА ОЛЕКСАНДРІВНА</dc:creator>
  <cp:lastModifiedBy>Користувач Windows</cp:lastModifiedBy>
  <cp:revision>13</cp:revision>
  <cp:lastPrinted>2018-08-06T06:55:00Z</cp:lastPrinted>
  <dcterms:created xsi:type="dcterms:W3CDTF">2018-07-18T06:20:00Z</dcterms:created>
  <dcterms:modified xsi:type="dcterms:W3CDTF">2018-08-06T06:59:00Z</dcterms:modified>
</cp:coreProperties>
</file>