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BB" w:rsidRPr="002252D9" w:rsidRDefault="00F865BB" w:rsidP="0029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6C1E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F865BB" w:rsidRPr="00246C1E" w:rsidRDefault="00F865BB" w:rsidP="002915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6C1E">
        <w:rPr>
          <w:rFonts w:ascii="Times New Roman" w:hAnsi="Times New Roman" w:cs="Times New Roman"/>
          <w:b/>
          <w:sz w:val="28"/>
          <w:szCs w:val="28"/>
        </w:rPr>
        <w:t>до проекту наказу Міністерства фінансів України</w:t>
      </w:r>
      <w:r w:rsidR="00246C1E" w:rsidRPr="00246C1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46C1E" w:rsidRPr="00246C1E">
        <w:rPr>
          <w:rFonts w:ascii="Times New Roman" w:hAnsi="Times New Roman"/>
          <w:b/>
          <w:bCs/>
          <w:sz w:val="28"/>
          <w:szCs w:val="28"/>
        </w:rPr>
        <w:t xml:space="preserve">Про затвердження форми бланка </w:t>
      </w:r>
      <w:r w:rsidR="00246C1E" w:rsidRPr="00246C1E">
        <w:rPr>
          <w:rFonts w:ascii="Times New Roman" w:hAnsi="Times New Roman"/>
          <w:b/>
          <w:sz w:val="28"/>
          <w:szCs w:val="28"/>
        </w:rPr>
        <w:t>фінансової гарантії</w:t>
      </w:r>
      <w:r w:rsidR="00246C1E" w:rsidRPr="00246C1E">
        <w:rPr>
          <w:rFonts w:ascii="Times New Roman" w:hAnsi="Times New Roman" w:cs="Times New Roman"/>
          <w:b/>
          <w:sz w:val="28"/>
          <w:szCs w:val="28"/>
        </w:rPr>
        <w:t>»</w:t>
      </w:r>
    </w:p>
    <w:p w:rsidR="00F865BB" w:rsidRPr="00F865BB" w:rsidRDefault="00F865BB" w:rsidP="00F8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9D2" w:rsidRPr="00110AD5" w:rsidRDefault="00F865BB" w:rsidP="0045778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0AD5">
        <w:rPr>
          <w:rFonts w:ascii="Times New Roman" w:hAnsi="Times New Roman" w:cs="Times New Roman"/>
          <w:b/>
          <w:sz w:val="28"/>
          <w:szCs w:val="28"/>
        </w:rPr>
        <w:t>I. Визначення проблеми</w:t>
      </w:r>
    </w:p>
    <w:p w:rsidR="00C366DE" w:rsidRDefault="00C366DE" w:rsidP="00F8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CA" w:rsidRDefault="001538CA" w:rsidP="001D2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Частиною першою статті 305 </w:t>
      </w:r>
      <w:r w:rsidRPr="00602ACE">
        <w:rPr>
          <w:rFonts w:ascii="Times New Roman" w:hAnsi="Times New Roman" w:cs="Times New Roman"/>
          <w:sz w:val="28"/>
          <w:szCs w:val="28"/>
        </w:rPr>
        <w:t>глави 45 ро</w:t>
      </w:r>
      <w:r>
        <w:rPr>
          <w:rFonts w:ascii="Times New Roman" w:hAnsi="Times New Roman" w:cs="Times New Roman"/>
          <w:sz w:val="28"/>
          <w:szCs w:val="28"/>
        </w:rPr>
        <w:t xml:space="preserve">зділу Х Митного кодексу України (далі – Кодекс) встановлено, що у випадках, визначених цим Кодексом, виконання зобов’язань осіб, що випливають з митних процедур, забезпечуються шляхом надання митним органам забезпечення сплати митних платежів у способи, передбачені для відповідної митної процедури. </w:t>
      </w:r>
    </w:p>
    <w:p w:rsidR="001538CA" w:rsidRPr="00924F92" w:rsidRDefault="001538CA" w:rsidP="0015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вимог частини першої статті 311 Кодексу о</w:t>
      </w:r>
      <w:r w:rsidRPr="00260986">
        <w:rPr>
          <w:rFonts w:ascii="Times New Roman" w:hAnsi="Times New Roman" w:cs="Times New Roman"/>
          <w:sz w:val="28"/>
          <w:szCs w:val="28"/>
        </w:rPr>
        <w:t>ргани доходів і зборів як забезпечення сплати митних платежів приймають фінансові гарантії, видані гарантами, включеними до реєстру гарантів, який ведеться центральним органом виконавчої влади, що забезпечує формування та реалізує державну податкову і митну політику.</w:t>
      </w:r>
    </w:p>
    <w:p w:rsidR="006B077A" w:rsidRPr="0096100C" w:rsidRDefault="006B077A" w:rsidP="006B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положеннями </w:t>
      </w:r>
      <w:r w:rsidRPr="0096100C">
        <w:rPr>
          <w:rFonts w:ascii="Times New Roman" w:hAnsi="Times New Roman" w:cs="Times New Roman"/>
          <w:sz w:val="28"/>
          <w:szCs w:val="28"/>
        </w:rPr>
        <w:t>частини другої статті 311 Кодексу фінансова гарантія, що надається у вигляді документа, є безвідкличним зобов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96100C">
        <w:rPr>
          <w:rFonts w:ascii="Times New Roman" w:hAnsi="Times New Roman" w:cs="Times New Roman"/>
          <w:sz w:val="28"/>
          <w:szCs w:val="28"/>
        </w:rPr>
        <w:t>язанням гаранта, внесеного до реєстру гарантів, виплатити на вимогу органу доходів і зборів кошти в межах певної суми у разі невиконання забезпечених цією гарантією зобов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96100C">
        <w:rPr>
          <w:rFonts w:ascii="Times New Roman" w:hAnsi="Times New Roman" w:cs="Times New Roman"/>
          <w:sz w:val="28"/>
          <w:szCs w:val="28"/>
        </w:rPr>
        <w:t>язань із сплати митних платежів.</w:t>
      </w:r>
    </w:p>
    <w:p w:rsidR="00C057D2" w:rsidRDefault="00C057D2" w:rsidP="001D2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02ACE">
        <w:rPr>
          <w:rFonts w:ascii="Times New Roman" w:hAnsi="Times New Roman" w:cs="Times New Roman"/>
          <w:sz w:val="28"/>
          <w:szCs w:val="28"/>
        </w:rPr>
        <w:t xml:space="preserve">астиною третьою статті 311 </w:t>
      </w:r>
      <w:r w:rsidR="00333F6B">
        <w:rPr>
          <w:rFonts w:ascii="Times New Roman" w:hAnsi="Times New Roman" w:cs="Times New Roman"/>
          <w:sz w:val="28"/>
          <w:szCs w:val="28"/>
        </w:rPr>
        <w:t>Кодекс</w:t>
      </w:r>
      <w:r w:rsidR="001538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ACE" w:rsidRPr="00602ACE">
        <w:rPr>
          <w:rFonts w:ascii="Times New Roman" w:hAnsi="Times New Roman" w:cs="Times New Roman"/>
          <w:sz w:val="28"/>
          <w:szCs w:val="28"/>
        </w:rPr>
        <w:t>встановлен</w:t>
      </w:r>
      <w:r w:rsidR="001538CA">
        <w:rPr>
          <w:rFonts w:ascii="Times New Roman" w:hAnsi="Times New Roman" w:cs="Times New Roman"/>
          <w:sz w:val="28"/>
          <w:szCs w:val="28"/>
        </w:rPr>
        <w:t>о, що</w:t>
      </w:r>
      <w:r w:rsidR="00602ACE" w:rsidRPr="00602ACE">
        <w:rPr>
          <w:rFonts w:ascii="Times New Roman" w:hAnsi="Times New Roman" w:cs="Times New Roman"/>
          <w:sz w:val="28"/>
          <w:szCs w:val="28"/>
        </w:rPr>
        <w:t xml:space="preserve"> </w:t>
      </w:r>
      <w:r w:rsidRPr="00602ACE">
        <w:rPr>
          <w:rFonts w:ascii="Times New Roman" w:hAnsi="Times New Roman" w:cs="Times New Roman"/>
          <w:sz w:val="28"/>
          <w:szCs w:val="28"/>
        </w:rPr>
        <w:t>форми бланк</w:t>
      </w:r>
      <w:r w:rsidR="001538CA">
        <w:rPr>
          <w:rFonts w:ascii="Times New Roman" w:hAnsi="Times New Roman" w:cs="Times New Roman"/>
          <w:sz w:val="28"/>
          <w:szCs w:val="28"/>
        </w:rPr>
        <w:t>ів</w:t>
      </w:r>
      <w:r w:rsidRPr="00602ACE">
        <w:rPr>
          <w:rFonts w:ascii="Times New Roman" w:hAnsi="Times New Roman" w:cs="Times New Roman"/>
          <w:sz w:val="28"/>
          <w:szCs w:val="28"/>
        </w:rPr>
        <w:t xml:space="preserve"> фінансов</w:t>
      </w:r>
      <w:r w:rsidR="001538CA">
        <w:rPr>
          <w:rFonts w:ascii="Times New Roman" w:hAnsi="Times New Roman" w:cs="Times New Roman"/>
          <w:sz w:val="28"/>
          <w:szCs w:val="28"/>
        </w:rPr>
        <w:t>их</w:t>
      </w:r>
      <w:r w:rsidRPr="00602ACE">
        <w:rPr>
          <w:rFonts w:ascii="Times New Roman" w:hAnsi="Times New Roman" w:cs="Times New Roman"/>
          <w:sz w:val="28"/>
          <w:szCs w:val="28"/>
        </w:rPr>
        <w:t xml:space="preserve"> гаранті</w:t>
      </w:r>
      <w:r w:rsidR="001538CA">
        <w:rPr>
          <w:rFonts w:ascii="Times New Roman" w:hAnsi="Times New Roman" w:cs="Times New Roman"/>
          <w:sz w:val="28"/>
          <w:szCs w:val="28"/>
        </w:rPr>
        <w:t>й</w:t>
      </w:r>
      <w:r w:rsidR="000F422F" w:rsidRPr="000F422F">
        <w:rPr>
          <w:rFonts w:ascii="Times New Roman" w:hAnsi="Times New Roman" w:cs="Times New Roman"/>
          <w:sz w:val="28"/>
          <w:szCs w:val="28"/>
        </w:rPr>
        <w:t xml:space="preserve"> </w:t>
      </w:r>
      <w:r w:rsidR="00920F60">
        <w:rPr>
          <w:rFonts w:ascii="Times New Roman" w:hAnsi="Times New Roman" w:cs="Times New Roman"/>
          <w:sz w:val="28"/>
          <w:szCs w:val="28"/>
        </w:rPr>
        <w:t xml:space="preserve">встановлюються </w:t>
      </w:r>
      <w:r w:rsidR="000F422F" w:rsidRPr="00602ACE">
        <w:rPr>
          <w:rFonts w:ascii="Times New Roman" w:hAnsi="Times New Roman" w:cs="Times New Roman"/>
          <w:sz w:val="28"/>
          <w:szCs w:val="28"/>
        </w:rPr>
        <w:t>центральним органом виконавчої влади, що забезпечує формування та реалізує державну податкову і митну політику</w:t>
      </w:r>
      <w:r w:rsidR="000F422F">
        <w:rPr>
          <w:rFonts w:ascii="Times New Roman" w:hAnsi="Times New Roman" w:cs="Times New Roman"/>
          <w:sz w:val="28"/>
          <w:szCs w:val="28"/>
        </w:rPr>
        <w:t>.</w:t>
      </w:r>
    </w:p>
    <w:p w:rsidR="00602ACE" w:rsidRDefault="00D26E33" w:rsidP="000C0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</w:t>
      </w:r>
      <w:r w:rsidR="000C01AC">
        <w:rPr>
          <w:rFonts w:ascii="Times New Roman" w:hAnsi="Times New Roman" w:cs="Times New Roman"/>
          <w:sz w:val="28"/>
          <w:szCs w:val="28"/>
        </w:rPr>
        <w:t>увати</w:t>
      </w:r>
      <w:r w:rsidR="00602ACE" w:rsidRPr="00602ACE">
        <w:rPr>
          <w:rFonts w:ascii="Times New Roman" w:hAnsi="Times New Roman" w:cs="Times New Roman"/>
          <w:sz w:val="28"/>
          <w:szCs w:val="28"/>
        </w:rPr>
        <w:t xml:space="preserve"> зазначен</w:t>
      </w:r>
      <w:r w:rsidR="000C01AC">
        <w:rPr>
          <w:rFonts w:ascii="Times New Roman" w:hAnsi="Times New Roman" w:cs="Times New Roman"/>
          <w:sz w:val="28"/>
          <w:szCs w:val="28"/>
        </w:rPr>
        <w:t>у</w:t>
      </w:r>
      <w:r w:rsidR="00602ACE" w:rsidRPr="00602ACE">
        <w:rPr>
          <w:rFonts w:ascii="Times New Roman" w:hAnsi="Times New Roman" w:cs="Times New Roman"/>
          <w:sz w:val="28"/>
          <w:szCs w:val="28"/>
        </w:rPr>
        <w:t xml:space="preserve"> вимог</w:t>
      </w:r>
      <w:r w:rsidR="000C01AC">
        <w:rPr>
          <w:rFonts w:ascii="Times New Roman" w:hAnsi="Times New Roman" w:cs="Times New Roman"/>
          <w:sz w:val="28"/>
          <w:szCs w:val="28"/>
        </w:rPr>
        <w:t>у</w:t>
      </w:r>
      <w:r w:rsidR="00602ACE" w:rsidRPr="00602ACE">
        <w:rPr>
          <w:rFonts w:ascii="Times New Roman" w:hAnsi="Times New Roman" w:cs="Times New Roman"/>
          <w:sz w:val="28"/>
          <w:szCs w:val="28"/>
        </w:rPr>
        <w:t xml:space="preserve"> Кодексу </w:t>
      </w:r>
      <w:r w:rsidR="00D4680E">
        <w:rPr>
          <w:rFonts w:ascii="Times New Roman" w:hAnsi="Times New Roman" w:cs="Times New Roman"/>
          <w:sz w:val="28"/>
          <w:szCs w:val="28"/>
        </w:rPr>
        <w:t xml:space="preserve">можливо </w:t>
      </w:r>
      <w:r w:rsidR="00602ACE" w:rsidRPr="00602ACE">
        <w:rPr>
          <w:rFonts w:ascii="Times New Roman" w:hAnsi="Times New Roman" w:cs="Times New Roman"/>
          <w:sz w:val="28"/>
          <w:szCs w:val="28"/>
        </w:rPr>
        <w:t>шляхом прийняття наказу Міністерства фінансів України «Про затвердження форми бланка фінансової гарантії»</w:t>
      </w:r>
      <w:r w:rsidR="000C01AC">
        <w:rPr>
          <w:rFonts w:ascii="Times New Roman" w:hAnsi="Times New Roman" w:cs="Times New Roman"/>
          <w:sz w:val="28"/>
          <w:szCs w:val="28"/>
        </w:rPr>
        <w:t xml:space="preserve"> (далі – проект наказу)</w:t>
      </w:r>
      <w:r w:rsidR="00602ACE" w:rsidRPr="00602ACE">
        <w:rPr>
          <w:rFonts w:ascii="Times New Roman" w:hAnsi="Times New Roman" w:cs="Times New Roman"/>
          <w:sz w:val="28"/>
          <w:szCs w:val="28"/>
        </w:rPr>
        <w:t>.</w:t>
      </w:r>
    </w:p>
    <w:p w:rsidR="0049312F" w:rsidRPr="0035465A" w:rsidRDefault="00F44047" w:rsidP="001D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0C">
        <w:rPr>
          <w:rFonts w:ascii="Times New Roman" w:hAnsi="Times New Roman" w:cs="Times New Roman"/>
          <w:sz w:val="28"/>
          <w:szCs w:val="28"/>
        </w:rPr>
        <w:t>У 2018 році спостерігається тенденція</w:t>
      </w:r>
      <w:r>
        <w:rPr>
          <w:rFonts w:ascii="Times New Roman" w:hAnsi="Times New Roman" w:cs="Times New Roman"/>
          <w:sz w:val="28"/>
          <w:szCs w:val="28"/>
        </w:rPr>
        <w:t xml:space="preserve"> до збільше</w:t>
      </w:r>
      <w:r w:rsidR="00DA4692">
        <w:rPr>
          <w:rFonts w:ascii="Times New Roman" w:hAnsi="Times New Roman" w:cs="Times New Roman"/>
          <w:sz w:val="28"/>
          <w:szCs w:val="28"/>
        </w:rPr>
        <w:t>ння кількості гарантів, зокрема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634">
        <w:rPr>
          <w:rFonts w:ascii="Times New Roman" w:hAnsi="Times New Roman" w:cs="Times New Roman"/>
          <w:sz w:val="28"/>
          <w:szCs w:val="28"/>
        </w:rPr>
        <w:t xml:space="preserve">станом </w:t>
      </w:r>
      <w:r w:rsidRPr="00C36F8A">
        <w:rPr>
          <w:rFonts w:ascii="Times New Roman" w:hAnsi="Times New Roman" w:cs="Times New Roman"/>
          <w:sz w:val="28"/>
          <w:szCs w:val="28"/>
        </w:rPr>
        <w:t>н</w:t>
      </w:r>
      <w:r w:rsidR="00492C22" w:rsidRPr="00C36F8A">
        <w:rPr>
          <w:rFonts w:ascii="Times New Roman" w:hAnsi="Times New Roman" w:cs="Times New Roman"/>
          <w:sz w:val="28"/>
          <w:szCs w:val="28"/>
        </w:rPr>
        <w:t xml:space="preserve">а </w:t>
      </w:r>
      <w:r w:rsidRPr="00C36F8A">
        <w:rPr>
          <w:rFonts w:ascii="Times New Roman" w:hAnsi="Times New Roman" w:cs="Times New Roman"/>
          <w:sz w:val="28"/>
          <w:szCs w:val="28"/>
        </w:rPr>
        <w:t>0</w:t>
      </w:r>
      <w:r w:rsidR="00D33975" w:rsidRPr="00C36F8A">
        <w:rPr>
          <w:rFonts w:ascii="Times New Roman" w:hAnsi="Times New Roman" w:cs="Times New Roman"/>
          <w:sz w:val="28"/>
          <w:szCs w:val="28"/>
        </w:rPr>
        <w:t>6</w:t>
      </w:r>
      <w:r w:rsidRPr="00C36F8A">
        <w:rPr>
          <w:rFonts w:ascii="Times New Roman" w:hAnsi="Times New Roman" w:cs="Times New Roman"/>
          <w:sz w:val="28"/>
          <w:szCs w:val="28"/>
        </w:rPr>
        <w:t>.06.2018</w:t>
      </w:r>
      <w:r w:rsidR="00492C22" w:rsidRPr="00C36F8A">
        <w:rPr>
          <w:rFonts w:ascii="Times New Roman" w:hAnsi="Times New Roman" w:cs="Times New Roman"/>
          <w:sz w:val="28"/>
          <w:szCs w:val="28"/>
        </w:rPr>
        <w:t xml:space="preserve"> повноваження</w:t>
      </w:r>
      <w:r w:rsidR="00492C22" w:rsidRPr="00492C22">
        <w:rPr>
          <w:rFonts w:ascii="Times New Roman" w:hAnsi="Times New Roman" w:cs="Times New Roman"/>
          <w:sz w:val="28"/>
          <w:szCs w:val="28"/>
        </w:rPr>
        <w:t xml:space="preserve"> гаранта</w:t>
      </w:r>
      <w:r w:rsidR="00DA4692">
        <w:rPr>
          <w:rFonts w:ascii="Times New Roman" w:hAnsi="Times New Roman" w:cs="Times New Roman"/>
          <w:sz w:val="28"/>
          <w:szCs w:val="28"/>
        </w:rPr>
        <w:t xml:space="preserve"> є у 6</w:t>
      </w:r>
      <w:r w:rsidR="00492C22">
        <w:rPr>
          <w:rFonts w:ascii="Times New Roman" w:hAnsi="Times New Roman" w:cs="Times New Roman"/>
          <w:sz w:val="28"/>
          <w:szCs w:val="28"/>
        </w:rPr>
        <w:t xml:space="preserve"> </w:t>
      </w:r>
      <w:r w:rsidR="00492C22" w:rsidRPr="00D12100">
        <w:rPr>
          <w:rFonts w:ascii="Times New Roman" w:hAnsi="Times New Roman" w:cs="Times New Roman"/>
          <w:sz w:val="28"/>
          <w:szCs w:val="28"/>
        </w:rPr>
        <w:t>юридичн</w:t>
      </w:r>
      <w:r w:rsidR="00492C22">
        <w:rPr>
          <w:rFonts w:ascii="Times New Roman" w:hAnsi="Times New Roman" w:cs="Times New Roman"/>
          <w:sz w:val="28"/>
          <w:szCs w:val="28"/>
        </w:rPr>
        <w:t>их</w:t>
      </w:r>
      <w:r w:rsidR="00492C22" w:rsidRPr="00D12100">
        <w:rPr>
          <w:rFonts w:ascii="Times New Roman" w:hAnsi="Times New Roman" w:cs="Times New Roman"/>
          <w:sz w:val="28"/>
          <w:szCs w:val="28"/>
        </w:rPr>
        <w:t xml:space="preserve"> ос</w:t>
      </w:r>
      <w:r w:rsidR="00492C22">
        <w:rPr>
          <w:rFonts w:ascii="Times New Roman" w:hAnsi="Times New Roman" w:cs="Times New Roman"/>
          <w:sz w:val="28"/>
          <w:szCs w:val="28"/>
        </w:rPr>
        <w:t>іб</w:t>
      </w:r>
      <w:r w:rsidR="00492C22" w:rsidRPr="00D12100">
        <w:rPr>
          <w:rFonts w:ascii="Times New Roman" w:hAnsi="Times New Roman" w:cs="Times New Roman"/>
          <w:sz w:val="28"/>
          <w:szCs w:val="28"/>
        </w:rPr>
        <w:t>, створен</w:t>
      </w:r>
      <w:r w:rsidR="00492C22">
        <w:rPr>
          <w:rFonts w:ascii="Times New Roman" w:hAnsi="Times New Roman" w:cs="Times New Roman"/>
          <w:sz w:val="28"/>
          <w:szCs w:val="28"/>
        </w:rPr>
        <w:t>их</w:t>
      </w:r>
      <w:r w:rsidR="00492C22" w:rsidRPr="00D12100">
        <w:rPr>
          <w:rFonts w:ascii="Times New Roman" w:hAnsi="Times New Roman" w:cs="Times New Roman"/>
          <w:sz w:val="28"/>
          <w:szCs w:val="28"/>
        </w:rPr>
        <w:t xml:space="preserve"> у формі повного або командитного товариства</w:t>
      </w:r>
      <w:r w:rsidR="00492C22">
        <w:rPr>
          <w:rFonts w:ascii="Times New Roman" w:hAnsi="Times New Roman" w:cs="Times New Roman"/>
          <w:sz w:val="28"/>
          <w:szCs w:val="28"/>
        </w:rPr>
        <w:t xml:space="preserve"> та банківських </w:t>
      </w:r>
      <w:r w:rsidR="00DA4692">
        <w:rPr>
          <w:rFonts w:ascii="Times New Roman" w:hAnsi="Times New Roman" w:cs="Times New Roman"/>
          <w:sz w:val="28"/>
          <w:szCs w:val="28"/>
        </w:rPr>
        <w:t>установ, які внесені до</w:t>
      </w:r>
      <w:r w:rsidR="00492C22" w:rsidRPr="0035465A">
        <w:rPr>
          <w:rFonts w:ascii="Times New Roman" w:hAnsi="Times New Roman" w:cs="Times New Roman"/>
          <w:sz w:val="28"/>
          <w:szCs w:val="28"/>
        </w:rPr>
        <w:t xml:space="preserve"> реєстр</w:t>
      </w:r>
      <w:r w:rsidR="00DA4692">
        <w:rPr>
          <w:rFonts w:ascii="Times New Roman" w:hAnsi="Times New Roman" w:cs="Times New Roman"/>
          <w:sz w:val="28"/>
          <w:szCs w:val="28"/>
        </w:rPr>
        <w:t>у</w:t>
      </w:r>
      <w:r w:rsidR="00492C22" w:rsidRPr="0035465A">
        <w:rPr>
          <w:rFonts w:ascii="Times New Roman" w:hAnsi="Times New Roman" w:cs="Times New Roman"/>
          <w:sz w:val="28"/>
          <w:szCs w:val="28"/>
        </w:rPr>
        <w:t xml:space="preserve"> </w:t>
      </w:r>
      <w:r w:rsidR="006C03AC" w:rsidRPr="0035465A">
        <w:rPr>
          <w:rFonts w:ascii="Times New Roman" w:hAnsi="Times New Roman" w:cs="Times New Roman"/>
          <w:sz w:val="28"/>
          <w:szCs w:val="28"/>
        </w:rPr>
        <w:t>гарантів</w:t>
      </w:r>
      <w:r w:rsidR="00DA4692">
        <w:rPr>
          <w:rFonts w:ascii="Times New Roman" w:hAnsi="Times New Roman" w:cs="Times New Roman"/>
          <w:sz w:val="28"/>
          <w:szCs w:val="28"/>
        </w:rPr>
        <w:t xml:space="preserve"> ДФС</w:t>
      </w:r>
      <w:r w:rsidR="006C03AC" w:rsidRPr="0035465A">
        <w:rPr>
          <w:rFonts w:ascii="Times New Roman" w:hAnsi="Times New Roman" w:cs="Times New Roman"/>
          <w:sz w:val="28"/>
          <w:szCs w:val="28"/>
        </w:rPr>
        <w:t>.</w:t>
      </w:r>
    </w:p>
    <w:p w:rsidR="00D10C9D" w:rsidRDefault="00D10C9D" w:rsidP="001D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5A">
        <w:rPr>
          <w:rFonts w:ascii="Times New Roman" w:hAnsi="Times New Roman" w:cs="Times New Roman"/>
          <w:sz w:val="28"/>
          <w:szCs w:val="28"/>
        </w:rPr>
        <w:t>Так, протягом січня</w:t>
      </w:r>
      <w:r w:rsidR="00483F58" w:rsidRPr="0035465A">
        <w:rPr>
          <w:rFonts w:ascii="Times New Roman" w:hAnsi="Times New Roman" w:cs="Times New Roman"/>
          <w:sz w:val="28"/>
          <w:szCs w:val="28"/>
        </w:rPr>
        <w:t> </w:t>
      </w:r>
      <w:r w:rsidRPr="0035465A">
        <w:rPr>
          <w:rFonts w:ascii="Times New Roman" w:hAnsi="Times New Roman" w:cs="Times New Roman"/>
          <w:sz w:val="28"/>
          <w:szCs w:val="28"/>
        </w:rPr>
        <w:t>–</w:t>
      </w:r>
      <w:r w:rsidR="00483F58" w:rsidRPr="0035465A">
        <w:rPr>
          <w:rFonts w:ascii="Times New Roman" w:hAnsi="Times New Roman" w:cs="Times New Roman"/>
          <w:sz w:val="28"/>
          <w:szCs w:val="28"/>
        </w:rPr>
        <w:t> </w:t>
      </w:r>
      <w:r w:rsidRPr="0035465A">
        <w:rPr>
          <w:rFonts w:ascii="Times New Roman" w:hAnsi="Times New Roman" w:cs="Times New Roman"/>
          <w:sz w:val="28"/>
          <w:szCs w:val="28"/>
        </w:rPr>
        <w:t xml:space="preserve">квітня 2018 року митними органами </w:t>
      </w:r>
      <w:r w:rsidR="008516E9">
        <w:rPr>
          <w:rFonts w:ascii="Times New Roman" w:hAnsi="Times New Roman" w:cs="Times New Roman"/>
          <w:sz w:val="28"/>
          <w:szCs w:val="28"/>
        </w:rPr>
        <w:br/>
      </w:r>
      <w:r w:rsidR="008B4B9B" w:rsidRPr="0035465A">
        <w:rPr>
          <w:rFonts w:ascii="Times New Roman" w:hAnsi="Times New Roman" w:cs="Times New Roman"/>
          <w:sz w:val="28"/>
          <w:szCs w:val="28"/>
        </w:rPr>
        <w:t xml:space="preserve">прийнято </w:t>
      </w:r>
      <w:r w:rsidRPr="0035465A">
        <w:rPr>
          <w:rFonts w:ascii="Times New Roman" w:hAnsi="Times New Roman" w:cs="Times New Roman"/>
          <w:sz w:val="28"/>
          <w:szCs w:val="28"/>
        </w:rPr>
        <w:t xml:space="preserve">29 275 фінансових гарантій у вигляді документа на загальну суму </w:t>
      </w:r>
      <w:r w:rsidR="008516E9">
        <w:rPr>
          <w:rFonts w:ascii="Times New Roman" w:hAnsi="Times New Roman" w:cs="Times New Roman"/>
          <w:sz w:val="28"/>
          <w:szCs w:val="28"/>
        </w:rPr>
        <w:t xml:space="preserve">понад </w:t>
      </w:r>
      <w:r w:rsidRPr="0035465A">
        <w:rPr>
          <w:rFonts w:ascii="Times New Roman" w:hAnsi="Times New Roman" w:cs="Times New Roman"/>
          <w:sz w:val="28"/>
          <w:szCs w:val="28"/>
        </w:rPr>
        <w:t xml:space="preserve">34 </w:t>
      </w:r>
      <w:r w:rsidR="008516E9">
        <w:rPr>
          <w:rFonts w:ascii="Times New Roman" w:hAnsi="Times New Roman" w:cs="Times New Roman"/>
          <w:sz w:val="28"/>
          <w:szCs w:val="28"/>
        </w:rPr>
        <w:t>млрд.</w:t>
      </w:r>
      <w:r w:rsidR="008B4B9B">
        <w:rPr>
          <w:rFonts w:ascii="Times New Roman" w:hAnsi="Times New Roman" w:cs="Times New Roman"/>
          <w:sz w:val="28"/>
          <w:szCs w:val="28"/>
        </w:rPr>
        <w:t xml:space="preserve"> грив</w:t>
      </w:r>
      <w:r w:rsidR="008516E9">
        <w:rPr>
          <w:rFonts w:ascii="Times New Roman" w:hAnsi="Times New Roman" w:cs="Times New Roman"/>
          <w:sz w:val="28"/>
          <w:szCs w:val="28"/>
        </w:rPr>
        <w:t>ень</w:t>
      </w:r>
      <w:r w:rsidRPr="0035465A">
        <w:rPr>
          <w:rFonts w:ascii="Times New Roman" w:hAnsi="Times New Roman" w:cs="Times New Roman"/>
          <w:sz w:val="28"/>
          <w:szCs w:val="28"/>
        </w:rPr>
        <w:t>.</w:t>
      </w:r>
    </w:p>
    <w:p w:rsidR="00832B2C" w:rsidRPr="0035465A" w:rsidRDefault="00832B2C" w:rsidP="001D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перше півріччя 2018 року сталося 14 гарантійних випадків</w:t>
      </w:r>
      <w:r w:rsidR="00A65620">
        <w:rPr>
          <w:rFonts w:ascii="Times New Roman" w:hAnsi="Times New Roman" w:cs="Times New Roman"/>
          <w:sz w:val="28"/>
          <w:szCs w:val="28"/>
        </w:rPr>
        <w:t xml:space="preserve">. </w:t>
      </w:r>
      <w:r w:rsidR="008516E9">
        <w:rPr>
          <w:rFonts w:ascii="Times New Roman" w:hAnsi="Times New Roman" w:cs="Times New Roman"/>
          <w:sz w:val="28"/>
          <w:szCs w:val="28"/>
        </w:rPr>
        <w:t xml:space="preserve">До </w:t>
      </w:r>
      <w:r w:rsidR="00A65620">
        <w:rPr>
          <w:rFonts w:ascii="Times New Roman" w:hAnsi="Times New Roman" w:cs="Times New Roman"/>
          <w:sz w:val="28"/>
          <w:szCs w:val="28"/>
        </w:rPr>
        <w:t xml:space="preserve">державного бюджету гарантами сплачено </w:t>
      </w:r>
      <w:r w:rsidR="008516E9">
        <w:rPr>
          <w:rFonts w:ascii="Times New Roman" w:hAnsi="Times New Roman" w:cs="Times New Roman"/>
          <w:sz w:val="28"/>
          <w:szCs w:val="28"/>
        </w:rPr>
        <w:t xml:space="preserve">понад </w:t>
      </w:r>
      <w:r w:rsidR="00A65620">
        <w:rPr>
          <w:rFonts w:ascii="Times New Roman" w:hAnsi="Times New Roman" w:cs="Times New Roman"/>
          <w:sz w:val="28"/>
          <w:szCs w:val="28"/>
        </w:rPr>
        <w:t>262</w:t>
      </w:r>
      <w:r w:rsidR="008516E9">
        <w:rPr>
          <w:rFonts w:ascii="Times New Roman" w:hAnsi="Times New Roman" w:cs="Times New Roman"/>
          <w:sz w:val="28"/>
          <w:szCs w:val="28"/>
        </w:rPr>
        <w:t>,</w:t>
      </w:r>
      <w:r w:rsidR="00A65620">
        <w:rPr>
          <w:rFonts w:ascii="Times New Roman" w:hAnsi="Times New Roman" w:cs="Times New Roman"/>
          <w:sz w:val="28"/>
          <w:szCs w:val="28"/>
        </w:rPr>
        <w:t>9</w:t>
      </w:r>
      <w:r w:rsidR="008516E9">
        <w:rPr>
          <w:rFonts w:ascii="Times New Roman" w:hAnsi="Times New Roman" w:cs="Times New Roman"/>
          <w:sz w:val="28"/>
          <w:szCs w:val="28"/>
        </w:rPr>
        <w:t xml:space="preserve"> тис.</w:t>
      </w:r>
      <w:r w:rsidR="00A65620">
        <w:rPr>
          <w:rFonts w:ascii="Times New Roman" w:hAnsi="Times New Roman" w:cs="Times New Roman"/>
          <w:sz w:val="28"/>
          <w:szCs w:val="28"/>
        </w:rPr>
        <w:t xml:space="preserve"> грн</w:t>
      </w:r>
      <w:r w:rsidR="008516E9">
        <w:rPr>
          <w:rFonts w:ascii="Times New Roman" w:hAnsi="Times New Roman" w:cs="Times New Roman"/>
          <w:sz w:val="28"/>
          <w:szCs w:val="28"/>
        </w:rPr>
        <w:t>.</w:t>
      </w:r>
      <w:r w:rsidR="00A65620" w:rsidRPr="00A65620">
        <w:rPr>
          <w:rFonts w:ascii="Times New Roman" w:hAnsi="Times New Roman" w:cs="Times New Roman"/>
          <w:sz w:val="28"/>
          <w:szCs w:val="28"/>
        </w:rPr>
        <w:t xml:space="preserve"> </w:t>
      </w:r>
      <w:r w:rsidR="00A65620">
        <w:rPr>
          <w:rFonts w:ascii="Times New Roman" w:hAnsi="Times New Roman" w:cs="Times New Roman"/>
          <w:sz w:val="28"/>
          <w:szCs w:val="28"/>
        </w:rPr>
        <w:t>митних платежів по 2 гарантійни</w:t>
      </w:r>
      <w:r w:rsidR="001F3D0D">
        <w:rPr>
          <w:rFonts w:ascii="Times New Roman" w:hAnsi="Times New Roman" w:cs="Times New Roman"/>
          <w:sz w:val="28"/>
          <w:szCs w:val="28"/>
        </w:rPr>
        <w:t>х</w:t>
      </w:r>
      <w:r w:rsidR="00A65620">
        <w:rPr>
          <w:rFonts w:ascii="Times New Roman" w:hAnsi="Times New Roman" w:cs="Times New Roman"/>
          <w:sz w:val="28"/>
          <w:szCs w:val="28"/>
        </w:rPr>
        <w:t xml:space="preserve"> випадка</w:t>
      </w:r>
      <w:r w:rsidR="001F3D0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406" w:rsidRDefault="00DB1DD8" w:rsidP="001D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із зазначеним виникає необхідність </w:t>
      </w:r>
      <w:r w:rsidR="007254FE" w:rsidRPr="00B26C73">
        <w:rPr>
          <w:rFonts w:ascii="Times New Roman" w:hAnsi="Times New Roman" w:cs="Times New Roman"/>
          <w:sz w:val="28"/>
          <w:szCs w:val="28"/>
        </w:rPr>
        <w:t>уніфік</w:t>
      </w:r>
      <w:r w:rsidR="007200B6">
        <w:rPr>
          <w:rFonts w:ascii="Times New Roman" w:hAnsi="Times New Roman" w:cs="Times New Roman"/>
          <w:sz w:val="28"/>
          <w:szCs w:val="28"/>
        </w:rPr>
        <w:t>увати</w:t>
      </w:r>
      <w:r w:rsidR="007254FE" w:rsidRPr="00B26C73">
        <w:rPr>
          <w:rFonts w:ascii="Times New Roman" w:hAnsi="Times New Roman" w:cs="Times New Roman"/>
          <w:sz w:val="28"/>
          <w:szCs w:val="28"/>
        </w:rPr>
        <w:t xml:space="preserve"> застосування гарантійного фінансового документа для всіх учасників цього ринку, що дасть можливість забезпечити належний контроль за процедурою гарантува</w:t>
      </w:r>
      <w:r w:rsidR="007254FE">
        <w:rPr>
          <w:rFonts w:ascii="Times New Roman" w:hAnsi="Times New Roman" w:cs="Times New Roman"/>
          <w:sz w:val="28"/>
          <w:szCs w:val="28"/>
        </w:rPr>
        <w:t>ння на митній території України</w:t>
      </w:r>
      <w:r w:rsidR="00F41777">
        <w:rPr>
          <w:rFonts w:ascii="Times New Roman" w:hAnsi="Times New Roman" w:cs="Times New Roman"/>
          <w:sz w:val="28"/>
          <w:szCs w:val="28"/>
        </w:rPr>
        <w:t>.</w:t>
      </w:r>
    </w:p>
    <w:p w:rsidR="00CC6FE5" w:rsidRDefault="00702EFB" w:rsidP="00CC6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</w:t>
      </w:r>
      <w:r w:rsidR="006B07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C6FE5">
        <w:rPr>
          <w:rFonts w:ascii="Times New Roman" w:hAnsi="Times New Roman" w:cs="Times New Roman"/>
          <w:sz w:val="28"/>
          <w:szCs w:val="28"/>
        </w:rPr>
        <w:t xml:space="preserve">еалізація положень </w:t>
      </w:r>
      <w:r w:rsidR="0097207D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C6FE5">
        <w:rPr>
          <w:rFonts w:ascii="Times New Roman" w:hAnsi="Times New Roman" w:cs="Times New Roman"/>
          <w:sz w:val="28"/>
          <w:szCs w:val="28"/>
        </w:rPr>
        <w:t xml:space="preserve">наказу </w:t>
      </w:r>
      <w:r w:rsidR="006B077A">
        <w:rPr>
          <w:rFonts w:ascii="Times New Roman" w:hAnsi="Times New Roman" w:cs="Times New Roman"/>
          <w:sz w:val="28"/>
          <w:szCs w:val="28"/>
        </w:rPr>
        <w:t xml:space="preserve">забезпечить виконання вимог законодавства та </w:t>
      </w:r>
      <w:r w:rsidR="00CC6FE5">
        <w:rPr>
          <w:rFonts w:ascii="Times New Roman" w:hAnsi="Times New Roman" w:cs="Times New Roman"/>
          <w:sz w:val="28"/>
          <w:szCs w:val="28"/>
        </w:rPr>
        <w:t xml:space="preserve">проведення передбачених Кодексом </w:t>
      </w:r>
      <w:r w:rsidR="00CC6FE5" w:rsidRPr="00333F6B">
        <w:rPr>
          <w:rFonts w:ascii="Times New Roman" w:hAnsi="Times New Roman" w:cs="Times New Roman"/>
          <w:sz w:val="28"/>
          <w:szCs w:val="28"/>
        </w:rPr>
        <w:t>митного контролю та митного оформлення товарів, транспортних засобів комерційного призначення з використанням бланка фінансової гарантії</w:t>
      </w:r>
      <w:r w:rsidR="006B077A">
        <w:rPr>
          <w:rFonts w:ascii="Times New Roman" w:hAnsi="Times New Roman" w:cs="Times New Roman"/>
          <w:sz w:val="28"/>
          <w:szCs w:val="28"/>
        </w:rPr>
        <w:t>.</w:t>
      </w:r>
    </w:p>
    <w:p w:rsidR="00CA797D" w:rsidRDefault="00CA797D" w:rsidP="00CC6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97D" w:rsidRDefault="00CA797D" w:rsidP="00CC6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6DE" w:rsidRDefault="0013217B" w:rsidP="00C36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366DE" w:rsidRPr="00C366DE">
        <w:rPr>
          <w:rFonts w:ascii="Times New Roman" w:hAnsi="Times New Roman" w:cs="Times New Roman"/>
          <w:sz w:val="28"/>
          <w:szCs w:val="28"/>
        </w:rPr>
        <w:t>сновні групи (підгрупи), на які проблема справляє вплив:</w:t>
      </w:r>
    </w:p>
    <w:p w:rsidR="00561169" w:rsidRPr="00561169" w:rsidRDefault="00561169" w:rsidP="00C366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3"/>
        <w:gridCol w:w="3118"/>
        <w:gridCol w:w="2943"/>
      </w:tblGrid>
      <w:tr w:rsidR="00C366DE" w:rsidTr="0013217B">
        <w:tc>
          <w:tcPr>
            <w:tcW w:w="3794" w:type="dxa"/>
          </w:tcPr>
          <w:p w:rsidR="00C366DE" w:rsidRDefault="0013217B" w:rsidP="001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7B">
              <w:rPr>
                <w:rFonts w:ascii="Times New Roman" w:hAnsi="Times New Roman" w:cs="Times New Roman"/>
                <w:sz w:val="28"/>
                <w:szCs w:val="28"/>
              </w:rPr>
              <w:t>Групи (підгрупи)</w:t>
            </w:r>
          </w:p>
        </w:tc>
        <w:tc>
          <w:tcPr>
            <w:tcW w:w="3118" w:type="dxa"/>
          </w:tcPr>
          <w:p w:rsidR="00C366DE" w:rsidRDefault="0013217B" w:rsidP="001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943" w:type="dxa"/>
          </w:tcPr>
          <w:p w:rsidR="00C366DE" w:rsidRDefault="0013217B" w:rsidP="001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C366DE" w:rsidTr="0013217B">
        <w:tc>
          <w:tcPr>
            <w:tcW w:w="3794" w:type="dxa"/>
          </w:tcPr>
          <w:p w:rsidR="00C366DE" w:rsidRDefault="0013217B" w:rsidP="00C3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B">
              <w:rPr>
                <w:rFonts w:ascii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3118" w:type="dxa"/>
          </w:tcPr>
          <w:p w:rsidR="00C366DE" w:rsidRDefault="00AC5469" w:rsidP="00FB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3" w:type="dxa"/>
          </w:tcPr>
          <w:p w:rsidR="00AC5469" w:rsidRDefault="00AC5469" w:rsidP="00AC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366DE" w:rsidTr="0013217B">
        <w:tc>
          <w:tcPr>
            <w:tcW w:w="3794" w:type="dxa"/>
          </w:tcPr>
          <w:p w:rsidR="00C366DE" w:rsidRDefault="0013217B" w:rsidP="001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B">
              <w:rPr>
                <w:rFonts w:ascii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3118" w:type="dxa"/>
          </w:tcPr>
          <w:p w:rsidR="00C366DE" w:rsidRDefault="00FB12EF" w:rsidP="00FB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43" w:type="dxa"/>
          </w:tcPr>
          <w:p w:rsidR="00C366DE" w:rsidRDefault="00AC5469" w:rsidP="00FB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366DE" w:rsidTr="0013217B">
        <w:tc>
          <w:tcPr>
            <w:tcW w:w="3794" w:type="dxa"/>
          </w:tcPr>
          <w:p w:rsidR="00C366DE" w:rsidRDefault="006B077A" w:rsidP="00C3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Суб’</w:t>
            </w:r>
            <w:r w:rsidR="009671CF">
              <w:rPr>
                <w:rFonts w:ascii="Times New Roman" w:hAnsi="Times New Roman" w:cs="Times New Roman"/>
                <w:sz w:val="28"/>
                <w:szCs w:val="28"/>
              </w:rPr>
              <w:t xml:space="preserve">єкти </w:t>
            </w:r>
            <w:r w:rsidR="0013217B" w:rsidRPr="0013217B">
              <w:rPr>
                <w:rFonts w:ascii="Times New Roman" w:hAnsi="Times New Roman" w:cs="Times New Roman"/>
                <w:sz w:val="28"/>
                <w:szCs w:val="28"/>
              </w:rPr>
              <w:t>господарювання,</w:t>
            </w:r>
          </w:p>
        </w:tc>
        <w:tc>
          <w:tcPr>
            <w:tcW w:w="3118" w:type="dxa"/>
          </w:tcPr>
          <w:p w:rsidR="00C366DE" w:rsidRDefault="00FB12EF" w:rsidP="00FB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43" w:type="dxa"/>
          </w:tcPr>
          <w:p w:rsidR="00C366DE" w:rsidRDefault="00AC5469" w:rsidP="00FB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366DE" w:rsidTr="0013217B">
        <w:tc>
          <w:tcPr>
            <w:tcW w:w="3794" w:type="dxa"/>
          </w:tcPr>
          <w:p w:rsidR="00C366DE" w:rsidRDefault="0013217B" w:rsidP="00C3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B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  <w:r w:rsidR="006B077A">
              <w:rPr>
                <w:rFonts w:ascii="Times New Roman" w:hAnsi="Times New Roman" w:cs="Times New Roman"/>
                <w:sz w:val="28"/>
                <w:szCs w:val="28"/>
              </w:rPr>
              <w:t xml:space="preserve"> суб’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єкти малого підприємництв</w:t>
            </w:r>
            <w:r w:rsidR="00A4500D" w:rsidRPr="00A4500D">
              <w:rPr>
                <w:rFonts w:ascii="Times New Roman" w:hAnsi="Times New Roman" w:cs="Times New Roman"/>
                <w:sz w:val="28"/>
                <w:szCs w:val="28"/>
              </w:rPr>
              <w:t>а*</w:t>
            </w:r>
          </w:p>
        </w:tc>
        <w:tc>
          <w:tcPr>
            <w:tcW w:w="3118" w:type="dxa"/>
          </w:tcPr>
          <w:p w:rsidR="00C366DE" w:rsidRPr="00404373" w:rsidRDefault="001D324D" w:rsidP="00FB1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2943" w:type="dxa"/>
          </w:tcPr>
          <w:p w:rsidR="00C366DE" w:rsidRDefault="00AC5469" w:rsidP="00FB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6B077A" w:rsidRPr="00AF40BD" w:rsidRDefault="006B077A" w:rsidP="0069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17F5" w:rsidRDefault="00A4500D" w:rsidP="0069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F2">
        <w:rPr>
          <w:rFonts w:ascii="Times New Roman" w:hAnsi="Times New Roman" w:cs="Times New Roman"/>
          <w:sz w:val="28"/>
          <w:szCs w:val="28"/>
        </w:rPr>
        <w:t>Врегулювання зазначеного питання не може бути здійснено за допомогою</w:t>
      </w:r>
      <w:r w:rsidR="00D117F5">
        <w:rPr>
          <w:rFonts w:ascii="Times New Roman" w:hAnsi="Times New Roman" w:cs="Times New Roman"/>
          <w:sz w:val="28"/>
          <w:szCs w:val="28"/>
        </w:rPr>
        <w:t>:</w:t>
      </w:r>
    </w:p>
    <w:p w:rsidR="00A4500D" w:rsidRDefault="00A4500D" w:rsidP="0069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F2">
        <w:rPr>
          <w:rFonts w:ascii="Times New Roman" w:hAnsi="Times New Roman" w:cs="Times New Roman"/>
          <w:sz w:val="28"/>
          <w:szCs w:val="28"/>
        </w:rPr>
        <w:t>ринкових механізмів, оскільки та</w:t>
      </w:r>
      <w:r w:rsidR="00692A49">
        <w:rPr>
          <w:rFonts w:ascii="Times New Roman" w:hAnsi="Times New Roman" w:cs="Times New Roman"/>
          <w:sz w:val="28"/>
          <w:szCs w:val="28"/>
        </w:rPr>
        <w:t>кі питання регулюються виключно нормативно-</w:t>
      </w:r>
      <w:r w:rsidRPr="00615BF2">
        <w:rPr>
          <w:rFonts w:ascii="Times New Roman" w:hAnsi="Times New Roman" w:cs="Times New Roman"/>
          <w:sz w:val="28"/>
          <w:szCs w:val="28"/>
        </w:rPr>
        <w:t>правовими актами</w:t>
      </w:r>
      <w:r w:rsidR="00D117F5">
        <w:rPr>
          <w:rFonts w:ascii="Times New Roman" w:hAnsi="Times New Roman" w:cs="Times New Roman"/>
          <w:sz w:val="28"/>
          <w:szCs w:val="28"/>
        </w:rPr>
        <w:t>;</w:t>
      </w:r>
    </w:p>
    <w:p w:rsidR="00D117F5" w:rsidRPr="00615BF2" w:rsidRDefault="00797C61" w:rsidP="0069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чинних</w:t>
      </w:r>
      <w:r w:rsidR="00D117F5">
        <w:rPr>
          <w:rFonts w:ascii="Times New Roman" w:hAnsi="Times New Roman" w:cs="Times New Roman"/>
          <w:sz w:val="28"/>
          <w:szCs w:val="28"/>
        </w:rPr>
        <w:t xml:space="preserve"> регуляторних актів, оскільки вони не відповідають актам вищої юридичної сили.</w:t>
      </w:r>
    </w:p>
    <w:p w:rsidR="00B528C2" w:rsidRPr="00615BF2" w:rsidRDefault="00B528C2" w:rsidP="0069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A4B" w:rsidRPr="00B528C2" w:rsidRDefault="00197A4B" w:rsidP="00615B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8C2">
        <w:rPr>
          <w:rFonts w:ascii="Times New Roman" w:hAnsi="Times New Roman" w:cs="Times New Roman"/>
          <w:b/>
          <w:sz w:val="28"/>
          <w:szCs w:val="28"/>
        </w:rPr>
        <w:t>II. Цілі державного регулювання</w:t>
      </w:r>
    </w:p>
    <w:p w:rsidR="00197A4B" w:rsidRPr="00615BF2" w:rsidRDefault="00197A4B" w:rsidP="0061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A4B" w:rsidRDefault="00D60065" w:rsidP="0061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підготовки проекту наказу є</w:t>
      </w:r>
      <w:r w:rsidR="00197A4B" w:rsidRPr="00615BF2">
        <w:rPr>
          <w:rFonts w:ascii="Times New Roman" w:hAnsi="Times New Roman" w:cs="Times New Roman"/>
          <w:sz w:val="28"/>
          <w:szCs w:val="28"/>
        </w:rPr>
        <w:t>:</w:t>
      </w:r>
    </w:p>
    <w:p w:rsidR="006B077A" w:rsidRDefault="006B077A" w:rsidP="0061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вимог Кодексу;</w:t>
      </w:r>
    </w:p>
    <w:p w:rsidR="00615BF2" w:rsidRPr="00615BF2" w:rsidRDefault="00364878" w:rsidP="0061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0695">
        <w:rPr>
          <w:rFonts w:ascii="Times New Roman" w:hAnsi="Times New Roman" w:cs="Times New Roman"/>
          <w:sz w:val="28"/>
          <w:szCs w:val="28"/>
        </w:rPr>
        <w:t>атвердження єдиної уніфікованої форми бланк</w:t>
      </w:r>
      <w:r w:rsidR="00F50055">
        <w:rPr>
          <w:rFonts w:ascii="Times New Roman" w:hAnsi="Times New Roman" w:cs="Times New Roman"/>
          <w:sz w:val="28"/>
          <w:szCs w:val="28"/>
        </w:rPr>
        <w:t>а</w:t>
      </w:r>
      <w:r w:rsidR="00F50695">
        <w:rPr>
          <w:rFonts w:ascii="Times New Roman" w:hAnsi="Times New Roman" w:cs="Times New Roman"/>
          <w:sz w:val="28"/>
          <w:szCs w:val="28"/>
        </w:rPr>
        <w:t xml:space="preserve"> фінансової </w:t>
      </w:r>
      <w:r w:rsidRPr="00615BF2">
        <w:rPr>
          <w:rFonts w:ascii="Times New Roman" w:hAnsi="Times New Roman" w:cs="Times New Roman"/>
          <w:sz w:val="28"/>
          <w:szCs w:val="28"/>
        </w:rPr>
        <w:t>гарантії</w:t>
      </w:r>
      <w:r w:rsidR="009D7A70">
        <w:rPr>
          <w:rFonts w:ascii="Times New Roman" w:hAnsi="Times New Roman" w:cs="Times New Roman"/>
          <w:sz w:val="28"/>
          <w:szCs w:val="28"/>
        </w:rPr>
        <w:t xml:space="preserve">, що </w:t>
      </w:r>
      <w:r w:rsidR="00F50055">
        <w:rPr>
          <w:rFonts w:ascii="Times New Roman" w:hAnsi="Times New Roman" w:cs="Times New Roman"/>
          <w:sz w:val="28"/>
          <w:szCs w:val="28"/>
        </w:rPr>
        <w:t>дасть можливість</w:t>
      </w:r>
      <w:r w:rsidR="009D7A70">
        <w:rPr>
          <w:rFonts w:ascii="Times New Roman" w:hAnsi="Times New Roman" w:cs="Times New Roman"/>
          <w:sz w:val="28"/>
          <w:szCs w:val="28"/>
        </w:rPr>
        <w:t xml:space="preserve"> </w:t>
      </w:r>
      <w:r w:rsidR="009D7A70" w:rsidRPr="009D7A70">
        <w:rPr>
          <w:rFonts w:ascii="Times New Roman" w:hAnsi="Times New Roman" w:cs="Times New Roman"/>
          <w:sz w:val="28"/>
          <w:szCs w:val="28"/>
        </w:rPr>
        <w:t>забезпечити належний контроль за процедурою гарантування на митній території України</w:t>
      </w:r>
      <w:r w:rsidR="00615BF2" w:rsidRPr="00615BF2">
        <w:rPr>
          <w:rFonts w:ascii="Times New Roman" w:hAnsi="Times New Roman" w:cs="Times New Roman"/>
          <w:sz w:val="28"/>
          <w:szCs w:val="28"/>
        </w:rPr>
        <w:t>;</w:t>
      </w:r>
    </w:p>
    <w:p w:rsidR="00615BF2" w:rsidRDefault="00615BF2" w:rsidP="0061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F2"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 w:rsidR="00805074">
        <w:rPr>
          <w:rFonts w:ascii="Times New Roman" w:hAnsi="Times New Roman" w:cs="Times New Roman"/>
          <w:sz w:val="28"/>
          <w:szCs w:val="28"/>
        </w:rPr>
        <w:t xml:space="preserve">єдиного </w:t>
      </w:r>
      <w:r w:rsidRPr="00615BF2">
        <w:rPr>
          <w:rFonts w:ascii="Times New Roman" w:hAnsi="Times New Roman" w:cs="Times New Roman"/>
          <w:sz w:val="28"/>
          <w:szCs w:val="28"/>
        </w:rPr>
        <w:t>переліку відомостей, що вносяться</w:t>
      </w:r>
      <w:r w:rsidR="00D60065">
        <w:rPr>
          <w:rFonts w:ascii="Times New Roman" w:hAnsi="Times New Roman" w:cs="Times New Roman"/>
          <w:sz w:val="28"/>
          <w:szCs w:val="28"/>
        </w:rPr>
        <w:t xml:space="preserve"> до гарантійного документа;</w:t>
      </w:r>
    </w:p>
    <w:p w:rsidR="006B077A" w:rsidRDefault="00D60065" w:rsidP="00D6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сприяння забезпеченн</w:t>
      </w:r>
      <w:r w:rsidR="00F500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проведення передбачених Кодексом </w:t>
      </w:r>
      <w:r w:rsidRPr="00333F6B">
        <w:rPr>
          <w:rFonts w:ascii="Times New Roman" w:hAnsi="Times New Roman" w:cs="Times New Roman"/>
          <w:sz w:val="28"/>
          <w:szCs w:val="28"/>
        </w:rPr>
        <w:t>митного контролю та митного оформлення товарів, транспортних засобів комерційного призначення з використан</w:t>
      </w:r>
      <w:r w:rsidR="006B077A">
        <w:rPr>
          <w:rFonts w:ascii="Times New Roman" w:hAnsi="Times New Roman" w:cs="Times New Roman"/>
          <w:sz w:val="28"/>
          <w:szCs w:val="28"/>
        </w:rPr>
        <w:t>ням бланка фінансової гарантії;</w:t>
      </w:r>
    </w:p>
    <w:p w:rsidR="00D60065" w:rsidRDefault="006B077A" w:rsidP="00D6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надходження коштів (митних платежів) до державного бюджету</w:t>
      </w:r>
      <w:r w:rsidR="00D60065">
        <w:rPr>
          <w:rFonts w:ascii="Times New Roman" w:hAnsi="Times New Roman" w:cs="Times New Roman"/>
          <w:sz w:val="28"/>
          <w:szCs w:val="28"/>
        </w:rPr>
        <w:t>.</w:t>
      </w:r>
    </w:p>
    <w:p w:rsidR="00D60065" w:rsidRDefault="00D60065" w:rsidP="0061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81" w:rsidRPr="00C20B6B" w:rsidRDefault="00C20B6B" w:rsidP="00615B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B6B">
        <w:rPr>
          <w:rFonts w:ascii="Times New Roman" w:hAnsi="Times New Roman" w:cs="Times New Roman"/>
          <w:b/>
          <w:sz w:val="28"/>
          <w:szCs w:val="28"/>
        </w:rPr>
        <w:t>III. Визначення та оцінка альтернативних способів досягнення цілей</w:t>
      </w:r>
    </w:p>
    <w:p w:rsidR="00A4500D" w:rsidRDefault="00A4500D" w:rsidP="0061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7D" w:rsidRPr="00542D7D" w:rsidRDefault="00542D7D" w:rsidP="008B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7D">
        <w:rPr>
          <w:rFonts w:ascii="Times New Roman" w:hAnsi="Times New Roman" w:cs="Times New Roman"/>
          <w:sz w:val="28"/>
          <w:szCs w:val="28"/>
        </w:rPr>
        <w:t>1. Альтернативні способи досягнення цілей державного регулювання:</w:t>
      </w:r>
    </w:p>
    <w:p w:rsidR="00542D7D" w:rsidRPr="00542D7D" w:rsidRDefault="00542D7D" w:rsidP="008B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48"/>
        <w:gridCol w:w="7906"/>
      </w:tblGrid>
      <w:tr w:rsidR="00542D7D" w:rsidRPr="00542D7D" w:rsidTr="00D94214">
        <w:tc>
          <w:tcPr>
            <w:tcW w:w="1948" w:type="dxa"/>
            <w:vAlign w:val="center"/>
          </w:tcPr>
          <w:p w:rsidR="00542D7D" w:rsidRPr="00542D7D" w:rsidRDefault="00542D7D" w:rsidP="00542D7D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42D7D">
              <w:rPr>
                <w:color w:val="000000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7906" w:type="dxa"/>
            <w:vAlign w:val="center"/>
          </w:tcPr>
          <w:p w:rsidR="00542D7D" w:rsidRPr="00542D7D" w:rsidRDefault="00542D7D" w:rsidP="00542D7D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42D7D">
              <w:rPr>
                <w:color w:val="000000"/>
                <w:sz w:val="24"/>
                <w:szCs w:val="24"/>
                <w:lang w:eastAsia="ru-RU"/>
              </w:rPr>
              <w:t>Опис альтернативи</w:t>
            </w:r>
          </w:p>
        </w:tc>
      </w:tr>
      <w:tr w:rsidR="00542D7D" w:rsidRPr="00542D7D" w:rsidTr="00D94214">
        <w:tc>
          <w:tcPr>
            <w:tcW w:w="1948" w:type="dxa"/>
            <w:vAlign w:val="center"/>
          </w:tcPr>
          <w:p w:rsidR="00542D7D" w:rsidRPr="00542D7D" w:rsidRDefault="00542D7D" w:rsidP="00542D7D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42D7D">
              <w:rPr>
                <w:color w:val="000000"/>
                <w:sz w:val="24"/>
                <w:szCs w:val="24"/>
                <w:lang w:eastAsia="ru-RU"/>
              </w:rPr>
              <w:t>Альтернатива 1</w:t>
            </w:r>
          </w:p>
        </w:tc>
        <w:tc>
          <w:tcPr>
            <w:tcW w:w="7906" w:type="dxa"/>
          </w:tcPr>
          <w:p w:rsidR="00542D7D" w:rsidRDefault="00FA465A" w:rsidP="008D06BC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Прийняти</w:t>
            </w:r>
            <w:r w:rsidR="00542D7D" w:rsidRPr="00542D7D">
              <w:rPr>
                <w:color w:val="000000"/>
                <w:sz w:val="24"/>
                <w:szCs w:val="24"/>
                <w:lang w:eastAsia="ru-RU"/>
              </w:rPr>
              <w:t xml:space="preserve"> наказ Міністерства фінансів України </w:t>
            </w:r>
            <w:r w:rsidR="008D06BC" w:rsidRPr="008D06BC">
              <w:rPr>
                <w:color w:val="000000"/>
                <w:sz w:val="24"/>
                <w:szCs w:val="24"/>
                <w:lang w:eastAsia="ru-RU"/>
              </w:rPr>
              <w:t>«Про затвердження форми бланка фінансової гарантії»</w:t>
            </w:r>
            <w:r w:rsidR="004C421F" w:rsidRPr="000B28E2">
              <w:rPr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A273B">
              <w:rPr>
                <w:color w:val="000000"/>
                <w:sz w:val="24"/>
                <w:szCs w:val="24"/>
                <w:lang w:eastAsia="ru-RU"/>
              </w:rPr>
              <w:t>оскільки ця</w:t>
            </w:r>
            <w:r w:rsidR="004C421F">
              <w:rPr>
                <w:color w:val="000000"/>
                <w:sz w:val="24"/>
                <w:szCs w:val="24"/>
                <w:lang w:eastAsia="ru-RU"/>
              </w:rPr>
              <w:t xml:space="preserve"> вимога чітко встановлена ч</w:t>
            </w:r>
            <w:r w:rsidR="004C421F" w:rsidRPr="006C2590">
              <w:rPr>
                <w:color w:val="000000"/>
                <w:sz w:val="24"/>
                <w:szCs w:val="24"/>
                <w:lang w:eastAsia="ru-RU"/>
              </w:rPr>
              <w:t xml:space="preserve">астиною третьою статті 311 глави 45 розділу Х </w:t>
            </w:r>
            <w:r w:rsidR="000A273B">
              <w:rPr>
                <w:color w:val="000000"/>
                <w:sz w:val="24"/>
                <w:szCs w:val="24"/>
                <w:lang w:eastAsia="ru-RU"/>
              </w:rPr>
              <w:t>Кодексу</w:t>
            </w:r>
            <w:r w:rsidR="004C421F">
              <w:rPr>
                <w:color w:val="000000"/>
                <w:sz w:val="24"/>
                <w:szCs w:val="24"/>
                <w:lang w:eastAsia="ru-RU"/>
              </w:rPr>
              <w:t>, де</w:t>
            </w:r>
            <w:r w:rsidR="004C421F" w:rsidRPr="006C2590">
              <w:rPr>
                <w:color w:val="000000"/>
                <w:sz w:val="24"/>
                <w:szCs w:val="24"/>
                <w:lang w:eastAsia="ru-RU"/>
              </w:rPr>
              <w:t xml:space="preserve"> передбачено встановлення форми бланка фінансової гарантії центральним органом виконавчої влади, що забезпечує формування та реалізує державну податкову і митну політику</w:t>
            </w:r>
            <w:r w:rsidR="00667CDE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67CDE" w:rsidRPr="00542D7D" w:rsidRDefault="00667CDE" w:rsidP="008D06BC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2D7D" w:rsidRPr="00542D7D" w:rsidTr="00D94214">
        <w:tc>
          <w:tcPr>
            <w:tcW w:w="1948" w:type="dxa"/>
            <w:vAlign w:val="center"/>
          </w:tcPr>
          <w:p w:rsidR="00542D7D" w:rsidRPr="004C421F" w:rsidRDefault="00542D7D" w:rsidP="00542D7D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42D7D">
              <w:rPr>
                <w:color w:val="000000"/>
                <w:sz w:val="24"/>
                <w:szCs w:val="24"/>
                <w:lang w:eastAsia="ru-RU"/>
              </w:rPr>
              <w:t>Альтернатива </w:t>
            </w:r>
            <w:r w:rsidRPr="004C421F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06" w:type="dxa"/>
          </w:tcPr>
          <w:p w:rsidR="00542D7D" w:rsidRPr="00F14214" w:rsidRDefault="00FA465A" w:rsidP="002440BF">
            <w:pPr>
              <w:keepNext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 w:rsidRPr="00FA465A">
              <w:rPr>
                <w:color w:val="000000"/>
                <w:sz w:val="24"/>
                <w:szCs w:val="24"/>
                <w:lang w:eastAsia="ru-RU"/>
              </w:rPr>
              <w:t>Залишити без змін</w:t>
            </w:r>
          </w:p>
        </w:tc>
      </w:tr>
    </w:tbl>
    <w:p w:rsidR="00542D7D" w:rsidRPr="00542D7D" w:rsidRDefault="00542D7D" w:rsidP="008B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B5C" w:rsidRDefault="00161B5C" w:rsidP="008B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44" w:rsidRPr="008B3644" w:rsidRDefault="008B3644" w:rsidP="008B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44">
        <w:rPr>
          <w:rFonts w:ascii="Times New Roman" w:hAnsi="Times New Roman" w:cs="Times New Roman"/>
          <w:sz w:val="28"/>
          <w:szCs w:val="28"/>
        </w:rPr>
        <w:lastRenderedPageBreak/>
        <w:t>2. Оцінка впливу на сферу інтересів держави</w:t>
      </w:r>
    </w:p>
    <w:p w:rsidR="008B3644" w:rsidRPr="008B3644" w:rsidRDefault="008B3644" w:rsidP="008B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3934"/>
      </w:tblGrid>
      <w:tr w:rsidR="008B3644" w:rsidRPr="008B3644" w:rsidTr="00D94214">
        <w:tc>
          <w:tcPr>
            <w:tcW w:w="1951" w:type="dxa"/>
          </w:tcPr>
          <w:p w:rsidR="008B3644" w:rsidRPr="004C421F" w:rsidRDefault="008B3644" w:rsidP="008B3644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B3644">
              <w:rPr>
                <w:color w:val="000000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3969" w:type="dxa"/>
            <w:vAlign w:val="center"/>
          </w:tcPr>
          <w:p w:rsidR="008B3644" w:rsidRPr="004C421F" w:rsidRDefault="008B3644" w:rsidP="008B3644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B3644">
              <w:rPr>
                <w:color w:val="000000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3934" w:type="dxa"/>
            <w:vAlign w:val="center"/>
          </w:tcPr>
          <w:p w:rsidR="008B3644" w:rsidRPr="004C421F" w:rsidRDefault="008B3644" w:rsidP="008B3644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B3644">
              <w:rPr>
                <w:color w:val="000000"/>
                <w:sz w:val="24"/>
                <w:szCs w:val="24"/>
                <w:lang w:eastAsia="ru-RU"/>
              </w:rPr>
              <w:t>Витрати</w:t>
            </w:r>
          </w:p>
        </w:tc>
      </w:tr>
      <w:tr w:rsidR="008B3644" w:rsidRPr="008B3644" w:rsidTr="00D94214">
        <w:tc>
          <w:tcPr>
            <w:tcW w:w="1951" w:type="dxa"/>
          </w:tcPr>
          <w:p w:rsidR="008B3644" w:rsidRPr="008B3644" w:rsidRDefault="008B3644" w:rsidP="008B3644">
            <w:pPr>
              <w:keepNext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 w:rsidRPr="008B3644">
              <w:rPr>
                <w:color w:val="000000"/>
                <w:sz w:val="24"/>
                <w:szCs w:val="24"/>
                <w:lang w:eastAsia="ru-RU"/>
              </w:rPr>
              <w:t>Альтернатива 1</w:t>
            </w:r>
          </w:p>
        </w:tc>
        <w:tc>
          <w:tcPr>
            <w:tcW w:w="3969" w:type="dxa"/>
          </w:tcPr>
          <w:p w:rsidR="001C61DA" w:rsidRDefault="002252D9" w:rsidP="006B077A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12711">
              <w:rPr>
                <w:bCs/>
                <w:color w:val="000000"/>
                <w:sz w:val="24"/>
                <w:szCs w:val="24"/>
                <w:lang w:eastAsia="ru-RU"/>
              </w:rPr>
              <w:t>Прийняття проекту акт</w:t>
            </w:r>
            <w:r w:rsidR="006B077A">
              <w:rPr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2711">
              <w:rPr>
                <w:bCs/>
                <w:color w:val="000000"/>
                <w:sz w:val="24"/>
                <w:szCs w:val="24"/>
                <w:lang w:eastAsia="ru-RU"/>
              </w:rPr>
              <w:t xml:space="preserve"> надасть можливість правового забезпечення та практичної реалізації взаємодії органів доходів і зборів, гарантів та осіб, відповідальних за сплату митних платежів, під час проведення передбачених Кодексом митного контролю та митного оформлення товарів, транспортних засобів комерційного призначення з використанням бланка фінансової гарантії, поданої у вигляді документа</w:t>
            </w:r>
            <w:r w:rsidR="001C61DA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65ADF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61DA" w:rsidRPr="001C61DA">
              <w:rPr>
                <w:color w:val="000000"/>
                <w:sz w:val="24"/>
                <w:szCs w:val="24"/>
                <w:lang w:eastAsia="ru-RU"/>
              </w:rPr>
              <w:t>та безумовного надходження коштів (митних платежів) до державного бюджету.</w:t>
            </w:r>
          </w:p>
          <w:p w:rsidR="00AA5BB0" w:rsidRPr="008B3644" w:rsidRDefault="00AA5BB0" w:rsidP="006B077A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853750" w:rsidRPr="008B3644" w:rsidRDefault="00853750" w:rsidP="008B3644">
            <w:pPr>
              <w:keepNext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Витрати </w:t>
            </w:r>
            <w:r w:rsidR="008177B6">
              <w:rPr>
                <w:sz w:val="24"/>
                <w:szCs w:val="24"/>
                <w:lang w:eastAsia="ru-RU"/>
              </w:rPr>
              <w:t xml:space="preserve">держави (папір, конверт, марка тощо), а також витрати на проведення органами доходів і зборів експертиз та інших заходів (у разі протизаконних та/або обманних дій) </w:t>
            </w:r>
            <w:r w:rsidR="00BE3968">
              <w:rPr>
                <w:sz w:val="24"/>
                <w:szCs w:val="24"/>
                <w:lang w:eastAsia="ru-RU"/>
              </w:rPr>
              <w:t xml:space="preserve">залежать від кількості гарантійних випадків та здійснюються </w:t>
            </w:r>
            <w:r w:rsidR="008177B6">
              <w:rPr>
                <w:sz w:val="24"/>
                <w:szCs w:val="24"/>
                <w:lang w:eastAsia="ru-RU"/>
              </w:rPr>
              <w:t>в межах фінансування державних органів.</w:t>
            </w:r>
          </w:p>
          <w:p w:rsidR="008B3644" w:rsidRPr="00853750" w:rsidRDefault="006D0E5D" w:rsidP="006D0E5D">
            <w:pPr>
              <w:keepNext/>
              <w:ind w:firstLine="34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Розробка, п</w:t>
            </w:r>
            <w:r w:rsidR="00BE3968">
              <w:rPr>
                <w:sz w:val="24"/>
                <w:szCs w:val="24"/>
                <w:lang w:eastAsia="ru-RU"/>
              </w:rPr>
              <w:t xml:space="preserve">огодження </w:t>
            </w:r>
            <w:r w:rsidR="008177B6">
              <w:rPr>
                <w:sz w:val="24"/>
                <w:szCs w:val="24"/>
                <w:lang w:eastAsia="ru-RU"/>
              </w:rPr>
              <w:t>та прийняття проекту нормативно-правового акта здійснюється посадовими особами міністерств</w:t>
            </w:r>
            <w:r>
              <w:rPr>
                <w:sz w:val="24"/>
                <w:szCs w:val="24"/>
                <w:lang w:eastAsia="ru-RU"/>
              </w:rPr>
              <w:t>, служб</w:t>
            </w:r>
            <w:r w:rsidR="008177B6">
              <w:rPr>
                <w:sz w:val="24"/>
                <w:szCs w:val="24"/>
                <w:lang w:eastAsia="ru-RU"/>
              </w:rPr>
              <w:t xml:space="preserve"> </w:t>
            </w:r>
            <w:r w:rsidR="008177B6" w:rsidRPr="006D0E5D">
              <w:rPr>
                <w:sz w:val="24"/>
                <w:szCs w:val="24"/>
                <w:lang w:eastAsia="ru-RU"/>
              </w:rPr>
              <w:t>та Нацбанку</w:t>
            </w:r>
            <w:r w:rsidR="008177B6">
              <w:rPr>
                <w:sz w:val="24"/>
                <w:szCs w:val="24"/>
                <w:lang w:eastAsia="ru-RU"/>
              </w:rPr>
              <w:t xml:space="preserve"> в межах своєї компетенції</w:t>
            </w:r>
            <w:r w:rsidR="0023266F">
              <w:rPr>
                <w:sz w:val="24"/>
                <w:szCs w:val="24"/>
                <w:lang w:eastAsia="ru-RU"/>
              </w:rPr>
              <w:t xml:space="preserve">, а отже, </w:t>
            </w:r>
            <w:r w:rsidR="003018FC">
              <w:rPr>
                <w:sz w:val="24"/>
                <w:szCs w:val="24"/>
                <w:lang w:eastAsia="ru-RU"/>
              </w:rPr>
              <w:t>в</w:t>
            </w:r>
            <w:r w:rsidR="008177B6" w:rsidRPr="008B3644">
              <w:rPr>
                <w:sz w:val="24"/>
                <w:szCs w:val="24"/>
                <w:lang w:eastAsia="ru-RU"/>
              </w:rPr>
              <w:t>итрати відсутні</w:t>
            </w:r>
            <w:r w:rsidR="008177B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B3644" w:rsidRPr="008B3644" w:rsidTr="00D94214">
        <w:tc>
          <w:tcPr>
            <w:tcW w:w="1951" w:type="dxa"/>
          </w:tcPr>
          <w:p w:rsidR="008B3644" w:rsidRPr="008B3644" w:rsidRDefault="008B3644" w:rsidP="008B3644">
            <w:pPr>
              <w:keepNext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 w:rsidRPr="008B3644">
              <w:rPr>
                <w:color w:val="000000"/>
                <w:sz w:val="24"/>
                <w:szCs w:val="24"/>
                <w:lang w:eastAsia="ru-RU"/>
              </w:rPr>
              <w:t>Альтернатива </w:t>
            </w:r>
            <w:r w:rsidRPr="008B364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9" w:type="dxa"/>
          </w:tcPr>
          <w:p w:rsidR="008B3644" w:rsidRPr="002252D9" w:rsidRDefault="002252D9" w:rsidP="00B87016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Відсутні</w:t>
            </w:r>
          </w:p>
        </w:tc>
        <w:tc>
          <w:tcPr>
            <w:tcW w:w="3934" w:type="dxa"/>
          </w:tcPr>
          <w:p w:rsidR="00A12711" w:rsidRDefault="00A12711" w:rsidP="00A12711">
            <w:pPr>
              <w:keepNext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A12711">
              <w:rPr>
                <w:sz w:val="24"/>
                <w:szCs w:val="24"/>
                <w:lang w:eastAsia="ru-RU"/>
              </w:rPr>
              <w:t>Витрати відсутні</w:t>
            </w:r>
            <w:r w:rsidR="0086195B">
              <w:rPr>
                <w:sz w:val="24"/>
                <w:szCs w:val="24"/>
                <w:lang w:eastAsia="ru-RU"/>
              </w:rPr>
              <w:t>.</w:t>
            </w:r>
          </w:p>
          <w:p w:rsidR="00EF6654" w:rsidRDefault="00EF6654" w:rsidP="00A12711">
            <w:pPr>
              <w:keepNext/>
              <w:ind w:firstLine="34"/>
              <w:jc w:val="both"/>
              <w:rPr>
                <w:sz w:val="24"/>
                <w:szCs w:val="24"/>
                <w:lang w:eastAsia="ru-RU"/>
              </w:rPr>
            </w:pPr>
          </w:p>
          <w:p w:rsidR="00670E32" w:rsidRPr="008B3644" w:rsidRDefault="00EF6654" w:rsidP="0083052D">
            <w:pPr>
              <w:keepNext/>
              <w:ind w:firstLine="34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 разі неприйняття проекту наказу не буде забезпечено виконання </w:t>
            </w:r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6C2590">
              <w:rPr>
                <w:color w:val="000000"/>
                <w:sz w:val="24"/>
                <w:szCs w:val="24"/>
                <w:lang w:eastAsia="ru-RU"/>
              </w:rPr>
              <w:t>астин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6C2590">
              <w:rPr>
                <w:color w:val="000000"/>
                <w:sz w:val="24"/>
                <w:szCs w:val="24"/>
                <w:lang w:eastAsia="ru-RU"/>
              </w:rPr>
              <w:t xml:space="preserve"> третьо</w:t>
            </w:r>
            <w:r>
              <w:rPr>
                <w:color w:val="000000"/>
                <w:sz w:val="24"/>
                <w:szCs w:val="24"/>
                <w:lang w:eastAsia="ru-RU"/>
              </w:rPr>
              <w:t>ї</w:t>
            </w:r>
            <w:r w:rsidRPr="006C2590">
              <w:rPr>
                <w:color w:val="000000"/>
                <w:sz w:val="24"/>
                <w:szCs w:val="24"/>
                <w:lang w:eastAsia="ru-RU"/>
              </w:rPr>
              <w:t xml:space="preserve"> статті 311 глави 45 розділу Х </w:t>
            </w:r>
            <w:r w:rsidR="0083052D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6C2590">
              <w:rPr>
                <w:color w:val="000000"/>
                <w:sz w:val="24"/>
                <w:szCs w:val="24"/>
                <w:lang w:eastAsia="ru-RU"/>
              </w:rPr>
              <w:t xml:space="preserve">одексу </w:t>
            </w:r>
            <w:r w:rsidR="00565ADF">
              <w:rPr>
                <w:color w:val="000000"/>
                <w:sz w:val="24"/>
                <w:szCs w:val="24"/>
                <w:lang w:eastAsia="ru-RU"/>
              </w:rPr>
              <w:t xml:space="preserve">та </w:t>
            </w:r>
            <w:r w:rsidR="00A65620">
              <w:rPr>
                <w:color w:val="000000"/>
                <w:sz w:val="24"/>
                <w:szCs w:val="24"/>
                <w:lang w:eastAsia="ru-RU"/>
              </w:rPr>
              <w:t xml:space="preserve">надання гарантій </w:t>
            </w:r>
            <w:r w:rsidR="0083052D">
              <w:rPr>
                <w:color w:val="000000"/>
                <w:sz w:val="24"/>
                <w:szCs w:val="24"/>
                <w:lang w:eastAsia="ru-RU"/>
              </w:rPr>
              <w:t>за</w:t>
            </w:r>
            <w:r w:rsidR="00A65620">
              <w:rPr>
                <w:color w:val="000000"/>
                <w:sz w:val="24"/>
                <w:szCs w:val="24"/>
                <w:lang w:eastAsia="ru-RU"/>
              </w:rPr>
              <w:t xml:space="preserve"> встановлен</w:t>
            </w:r>
            <w:r w:rsidR="0083052D">
              <w:rPr>
                <w:color w:val="000000"/>
                <w:sz w:val="24"/>
                <w:szCs w:val="24"/>
                <w:lang w:eastAsia="ru-RU"/>
              </w:rPr>
              <w:t>ою</w:t>
            </w:r>
            <w:r w:rsidR="00A65620">
              <w:rPr>
                <w:color w:val="000000"/>
                <w:sz w:val="24"/>
                <w:szCs w:val="24"/>
                <w:lang w:eastAsia="ru-RU"/>
              </w:rPr>
              <w:t xml:space="preserve"> форм</w:t>
            </w:r>
            <w:r w:rsidR="0083052D">
              <w:rPr>
                <w:color w:val="000000"/>
                <w:sz w:val="24"/>
                <w:szCs w:val="24"/>
                <w:lang w:eastAsia="ru-RU"/>
              </w:rPr>
              <w:t>ою</w:t>
            </w:r>
            <w:r w:rsidR="00A65620">
              <w:rPr>
                <w:color w:val="000000"/>
                <w:sz w:val="24"/>
                <w:szCs w:val="24"/>
                <w:lang w:eastAsia="ru-RU"/>
              </w:rPr>
              <w:t xml:space="preserve"> зі сплати митних платежів </w:t>
            </w:r>
            <w:r w:rsidR="00B87016">
              <w:rPr>
                <w:color w:val="000000"/>
                <w:sz w:val="24"/>
                <w:szCs w:val="24"/>
                <w:lang w:eastAsia="ru-RU"/>
              </w:rPr>
              <w:t>до державного бюджету</w:t>
            </w:r>
          </w:p>
        </w:tc>
      </w:tr>
    </w:tbl>
    <w:p w:rsidR="008B3644" w:rsidRPr="008B3644" w:rsidRDefault="008B3644" w:rsidP="0087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44" w:rsidRDefault="008B3644" w:rsidP="0087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53">
        <w:rPr>
          <w:rFonts w:ascii="Times New Roman" w:hAnsi="Times New Roman" w:cs="Times New Roman"/>
          <w:sz w:val="28"/>
          <w:szCs w:val="28"/>
        </w:rPr>
        <w:t>3. </w:t>
      </w:r>
      <w:r w:rsidR="00B87016">
        <w:rPr>
          <w:rFonts w:ascii="Times New Roman" w:hAnsi="Times New Roman" w:cs="Times New Roman"/>
          <w:sz w:val="28"/>
          <w:szCs w:val="28"/>
        </w:rPr>
        <w:t>Дія п</w:t>
      </w:r>
      <w:r w:rsidR="002252D9" w:rsidRPr="00A03053">
        <w:rPr>
          <w:rFonts w:ascii="Times New Roman" w:hAnsi="Times New Roman" w:cs="Times New Roman"/>
          <w:sz w:val="28"/>
          <w:szCs w:val="28"/>
        </w:rPr>
        <w:t>роект</w:t>
      </w:r>
      <w:r w:rsidR="00B87016">
        <w:rPr>
          <w:rFonts w:ascii="Times New Roman" w:hAnsi="Times New Roman" w:cs="Times New Roman"/>
          <w:sz w:val="28"/>
          <w:szCs w:val="28"/>
        </w:rPr>
        <w:t>у</w:t>
      </w:r>
      <w:r w:rsidR="002252D9" w:rsidRPr="00A03053">
        <w:rPr>
          <w:rFonts w:ascii="Times New Roman" w:hAnsi="Times New Roman" w:cs="Times New Roman"/>
          <w:sz w:val="28"/>
          <w:szCs w:val="28"/>
        </w:rPr>
        <w:t xml:space="preserve"> наказу не </w:t>
      </w:r>
      <w:r w:rsidR="00B87016">
        <w:rPr>
          <w:rFonts w:ascii="Times New Roman" w:hAnsi="Times New Roman" w:cs="Times New Roman"/>
          <w:sz w:val="28"/>
          <w:szCs w:val="28"/>
        </w:rPr>
        <w:t>поширюється</w:t>
      </w:r>
      <w:r w:rsidR="002252D9" w:rsidRPr="00A03053">
        <w:rPr>
          <w:rFonts w:ascii="Times New Roman" w:hAnsi="Times New Roman" w:cs="Times New Roman"/>
          <w:sz w:val="28"/>
          <w:szCs w:val="28"/>
        </w:rPr>
        <w:t xml:space="preserve"> на сферу інтересів громадян</w:t>
      </w:r>
      <w:r w:rsidR="00B87016">
        <w:rPr>
          <w:rFonts w:ascii="Times New Roman" w:hAnsi="Times New Roman" w:cs="Times New Roman"/>
          <w:sz w:val="28"/>
          <w:szCs w:val="28"/>
        </w:rPr>
        <w:t>.</w:t>
      </w:r>
    </w:p>
    <w:p w:rsidR="00225988" w:rsidRDefault="00225988" w:rsidP="0087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493" w:rsidRDefault="00A25493" w:rsidP="00A25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60">
        <w:rPr>
          <w:rFonts w:ascii="Times New Roman" w:hAnsi="Times New Roman" w:cs="Times New Roman"/>
          <w:sz w:val="28"/>
          <w:szCs w:val="28"/>
        </w:rPr>
        <w:t>4. Оцінка впливу на сферу інтересів суб’єктів господарювання</w:t>
      </w:r>
    </w:p>
    <w:p w:rsidR="008F62B0" w:rsidRDefault="008F62B0" w:rsidP="00A25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2B0" w:rsidRDefault="008F62B0" w:rsidP="008F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BD">
        <w:rPr>
          <w:rFonts w:ascii="Times New Roman" w:hAnsi="Times New Roman" w:cs="Times New Roman"/>
          <w:sz w:val="28"/>
          <w:szCs w:val="28"/>
        </w:rPr>
        <w:t xml:space="preserve">Юридичні особи, які мають намір виступати гарантом забезпечення особою своїх </w:t>
      </w:r>
      <w:r w:rsidR="00816AA0" w:rsidRPr="000347BD">
        <w:rPr>
          <w:rFonts w:ascii="Times New Roman" w:hAnsi="Times New Roman" w:cs="Times New Roman"/>
          <w:sz w:val="28"/>
          <w:szCs w:val="28"/>
        </w:rPr>
        <w:t>зобов’язань</w:t>
      </w:r>
      <w:r w:rsidRPr="000347BD">
        <w:rPr>
          <w:rFonts w:ascii="Times New Roman" w:hAnsi="Times New Roman" w:cs="Times New Roman"/>
          <w:sz w:val="28"/>
          <w:szCs w:val="28"/>
        </w:rPr>
        <w:t xml:space="preserve"> перед органами доходів і зборів України зі сплати митних платежів,</w:t>
      </w:r>
      <w:r>
        <w:rPr>
          <w:rFonts w:ascii="Times New Roman" w:hAnsi="Times New Roman" w:cs="Times New Roman"/>
          <w:sz w:val="28"/>
          <w:szCs w:val="28"/>
        </w:rPr>
        <w:t xml:space="preserve"> а саме </w:t>
      </w:r>
      <w:r w:rsidRPr="000347BD">
        <w:rPr>
          <w:rFonts w:ascii="Times New Roman" w:hAnsi="Times New Roman" w:cs="Times New Roman"/>
          <w:sz w:val="28"/>
          <w:szCs w:val="28"/>
        </w:rPr>
        <w:t>банківськ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47BD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 xml:space="preserve">а або </w:t>
      </w:r>
      <w:r w:rsidRPr="000347BD">
        <w:rPr>
          <w:rFonts w:ascii="Times New Roman" w:hAnsi="Times New Roman" w:cs="Times New Roman"/>
          <w:sz w:val="28"/>
          <w:szCs w:val="28"/>
        </w:rPr>
        <w:t>незалежний фінансовий посередник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0347BD">
        <w:rPr>
          <w:rFonts w:ascii="Times New Roman" w:hAnsi="Times New Roman" w:cs="Times New Roman"/>
          <w:sz w:val="28"/>
          <w:szCs w:val="28"/>
        </w:rPr>
        <w:t>юридична особа, створена у формі повного або командитного товариства.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354" w:rsidRPr="005C4354" w:rsidRDefault="005C4354" w:rsidP="005C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54">
        <w:rPr>
          <w:rFonts w:ascii="Times New Roman" w:hAnsi="Times New Roman" w:cs="Times New Roman"/>
          <w:sz w:val="28"/>
          <w:szCs w:val="28"/>
        </w:rPr>
        <w:t xml:space="preserve">У 2018 році спостерігається тенденція до збільшення кількості гарантів, зокрема станом </w:t>
      </w:r>
      <w:r w:rsidRPr="0061585A">
        <w:rPr>
          <w:rFonts w:ascii="Times New Roman" w:hAnsi="Times New Roman" w:cs="Times New Roman"/>
          <w:sz w:val="28"/>
          <w:szCs w:val="28"/>
        </w:rPr>
        <w:t>на 0</w:t>
      </w:r>
      <w:r w:rsidR="00757465" w:rsidRPr="0061585A">
        <w:rPr>
          <w:rFonts w:ascii="Times New Roman" w:hAnsi="Times New Roman" w:cs="Times New Roman"/>
          <w:sz w:val="28"/>
          <w:szCs w:val="28"/>
        </w:rPr>
        <w:t>6</w:t>
      </w:r>
      <w:r w:rsidRPr="0061585A">
        <w:rPr>
          <w:rFonts w:ascii="Times New Roman" w:hAnsi="Times New Roman" w:cs="Times New Roman"/>
          <w:sz w:val="28"/>
          <w:szCs w:val="28"/>
        </w:rPr>
        <w:t>.06.2018</w:t>
      </w:r>
      <w:r w:rsidRPr="005C4354">
        <w:rPr>
          <w:rFonts w:ascii="Times New Roman" w:hAnsi="Times New Roman" w:cs="Times New Roman"/>
          <w:sz w:val="28"/>
          <w:szCs w:val="28"/>
        </w:rPr>
        <w:t xml:space="preserve"> повноваження гаранта є у </w:t>
      </w:r>
      <w:r w:rsidR="001814A8" w:rsidRPr="001814A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C4354">
        <w:rPr>
          <w:rFonts w:ascii="Times New Roman" w:hAnsi="Times New Roman" w:cs="Times New Roman"/>
          <w:sz w:val="28"/>
          <w:szCs w:val="28"/>
        </w:rPr>
        <w:t xml:space="preserve"> юридичних осіб, які внесені </w:t>
      </w:r>
      <w:r w:rsidR="001814A8">
        <w:rPr>
          <w:rFonts w:ascii="Times New Roman" w:hAnsi="Times New Roman" w:cs="Times New Roman"/>
          <w:sz w:val="28"/>
          <w:szCs w:val="28"/>
        </w:rPr>
        <w:t>до</w:t>
      </w:r>
      <w:r w:rsidRPr="005C4354">
        <w:rPr>
          <w:rFonts w:ascii="Times New Roman" w:hAnsi="Times New Roman" w:cs="Times New Roman"/>
          <w:sz w:val="28"/>
          <w:szCs w:val="28"/>
        </w:rPr>
        <w:t xml:space="preserve"> реєстр</w:t>
      </w:r>
      <w:r w:rsidR="001814A8">
        <w:rPr>
          <w:rFonts w:ascii="Times New Roman" w:hAnsi="Times New Roman" w:cs="Times New Roman"/>
          <w:sz w:val="28"/>
          <w:szCs w:val="28"/>
        </w:rPr>
        <w:t>у</w:t>
      </w:r>
      <w:r w:rsidRPr="005C4354">
        <w:rPr>
          <w:rFonts w:ascii="Times New Roman" w:hAnsi="Times New Roman" w:cs="Times New Roman"/>
          <w:sz w:val="28"/>
          <w:szCs w:val="28"/>
        </w:rPr>
        <w:t xml:space="preserve"> гарантів</w:t>
      </w:r>
      <w:r w:rsidR="001814A8">
        <w:rPr>
          <w:rFonts w:ascii="Times New Roman" w:hAnsi="Times New Roman" w:cs="Times New Roman"/>
          <w:sz w:val="28"/>
          <w:szCs w:val="28"/>
        </w:rPr>
        <w:t xml:space="preserve"> ДФС</w:t>
      </w:r>
      <w:r w:rsidRPr="005C435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965"/>
        <w:gridCol w:w="1581"/>
        <w:gridCol w:w="1591"/>
        <w:gridCol w:w="1565"/>
        <w:gridCol w:w="1577"/>
        <w:gridCol w:w="1575"/>
      </w:tblGrid>
      <w:tr w:rsidR="00F11AAD" w:rsidRPr="00F11AAD" w:rsidTr="00AE5612">
        <w:tc>
          <w:tcPr>
            <w:tcW w:w="1965" w:type="dxa"/>
          </w:tcPr>
          <w:p w:rsidR="00F11AAD" w:rsidRPr="00F11AAD" w:rsidRDefault="00F11AAD" w:rsidP="00F11AAD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1AAD">
              <w:rPr>
                <w:color w:val="000000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1581" w:type="dxa"/>
          </w:tcPr>
          <w:p w:rsidR="00F11AAD" w:rsidRPr="00F11AAD" w:rsidRDefault="00F11AAD" w:rsidP="00F11AAD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1AAD">
              <w:rPr>
                <w:color w:val="000000"/>
                <w:sz w:val="24"/>
                <w:szCs w:val="24"/>
                <w:lang w:eastAsia="ru-RU"/>
              </w:rPr>
              <w:t>Великі</w:t>
            </w:r>
          </w:p>
        </w:tc>
        <w:tc>
          <w:tcPr>
            <w:tcW w:w="1591" w:type="dxa"/>
          </w:tcPr>
          <w:p w:rsidR="00F11AAD" w:rsidRPr="00F11AAD" w:rsidRDefault="00F11AAD" w:rsidP="00F11AAD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1AAD">
              <w:rPr>
                <w:color w:val="000000"/>
                <w:sz w:val="24"/>
                <w:szCs w:val="24"/>
                <w:lang w:eastAsia="ru-RU"/>
              </w:rPr>
              <w:t>Середні</w:t>
            </w:r>
          </w:p>
        </w:tc>
        <w:tc>
          <w:tcPr>
            <w:tcW w:w="1565" w:type="dxa"/>
          </w:tcPr>
          <w:p w:rsidR="00F11AAD" w:rsidRPr="00F11AAD" w:rsidRDefault="00F11AAD" w:rsidP="00F11AAD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1AAD">
              <w:rPr>
                <w:color w:val="000000"/>
                <w:sz w:val="24"/>
                <w:szCs w:val="24"/>
                <w:lang w:eastAsia="ru-RU"/>
              </w:rPr>
              <w:t>Малі</w:t>
            </w:r>
          </w:p>
        </w:tc>
        <w:tc>
          <w:tcPr>
            <w:tcW w:w="1577" w:type="dxa"/>
          </w:tcPr>
          <w:p w:rsidR="00F11AAD" w:rsidRPr="00F11AAD" w:rsidRDefault="00F11AAD" w:rsidP="00F11AAD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1AAD">
              <w:rPr>
                <w:color w:val="000000"/>
                <w:sz w:val="24"/>
                <w:szCs w:val="24"/>
                <w:lang w:eastAsia="ru-RU"/>
              </w:rPr>
              <w:t>Мікро</w:t>
            </w:r>
          </w:p>
        </w:tc>
        <w:tc>
          <w:tcPr>
            <w:tcW w:w="1575" w:type="dxa"/>
          </w:tcPr>
          <w:p w:rsidR="00F11AAD" w:rsidRPr="00F11AAD" w:rsidRDefault="00F11AAD" w:rsidP="00F11AAD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1AAD">
              <w:rPr>
                <w:color w:val="000000"/>
                <w:sz w:val="24"/>
                <w:szCs w:val="24"/>
                <w:lang w:eastAsia="ru-RU"/>
              </w:rPr>
              <w:t>Разом</w:t>
            </w:r>
          </w:p>
        </w:tc>
      </w:tr>
      <w:tr w:rsidR="00F11AAD" w:rsidRPr="00F11AAD" w:rsidTr="00AE5612">
        <w:tc>
          <w:tcPr>
            <w:tcW w:w="1965" w:type="dxa"/>
          </w:tcPr>
          <w:p w:rsidR="00F11AAD" w:rsidRPr="00F11AAD" w:rsidRDefault="00F11AAD" w:rsidP="00F11AAD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1AAD">
              <w:rPr>
                <w:color w:val="000000"/>
                <w:sz w:val="24"/>
                <w:szCs w:val="24"/>
                <w:lang w:eastAsia="ru-RU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581" w:type="dxa"/>
            <w:vAlign w:val="center"/>
          </w:tcPr>
          <w:p w:rsidR="00F11AAD" w:rsidRPr="00287125" w:rsidRDefault="00AF1FAC" w:rsidP="00F11AAD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712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1" w:type="dxa"/>
            <w:vAlign w:val="center"/>
          </w:tcPr>
          <w:p w:rsidR="00884183" w:rsidRPr="00287125" w:rsidRDefault="00884183" w:rsidP="00884183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7125">
              <w:rPr>
                <w:sz w:val="24"/>
                <w:szCs w:val="24"/>
              </w:rPr>
              <w:t>–</w:t>
            </w:r>
          </w:p>
        </w:tc>
        <w:tc>
          <w:tcPr>
            <w:tcW w:w="1565" w:type="dxa"/>
            <w:vAlign w:val="center"/>
          </w:tcPr>
          <w:p w:rsidR="00F11AAD" w:rsidRPr="00287125" w:rsidRDefault="00884183" w:rsidP="00F11AAD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7125">
              <w:rPr>
                <w:sz w:val="24"/>
                <w:szCs w:val="24"/>
              </w:rPr>
              <w:t>–</w:t>
            </w:r>
          </w:p>
        </w:tc>
        <w:tc>
          <w:tcPr>
            <w:tcW w:w="1577" w:type="dxa"/>
            <w:vAlign w:val="center"/>
          </w:tcPr>
          <w:p w:rsidR="00F11AAD" w:rsidRPr="00287125" w:rsidRDefault="00884183" w:rsidP="00CC0B5F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7125">
              <w:rPr>
                <w:sz w:val="24"/>
                <w:szCs w:val="24"/>
              </w:rPr>
              <w:t>–</w:t>
            </w:r>
          </w:p>
        </w:tc>
        <w:tc>
          <w:tcPr>
            <w:tcW w:w="1575" w:type="dxa"/>
            <w:vAlign w:val="center"/>
          </w:tcPr>
          <w:p w:rsidR="00F11AAD" w:rsidRPr="00287125" w:rsidRDefault="00CC0B5F" w:rsidP="00F11AAD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712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1AAD" w:rsidRPr="00F11AAD" w:rsidTr="00AE5612">
        <w:tc>
          <w:tcPr>
            <w:tcW w:w="1965" w:type="dxa"/>
          </w:tcPr>
          <w:p w:rsidR="00F11AAD" w:rsidRPr="00F11AAD" w:rsidRDefault="00F11AAD" w:rsidP="00F11AAD">
            <w:pPr>
              <w:keepNext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1AAD">
              <w:rPr>
                <w:color w:val="000000"/>
                <w:sz w:val="24"/>
                <w:szCs w:val="24"/>
                <w:lang w:eastAsia="ru-RU"/>
              </w:rPr>
              <w:t>Питома вага групи у загальній кількості, відсотків</w:t>
            </w:r>
          </w:p>
        </w:tc>
        <w:tc>
          <w:tcPr>
            <w:tcW w:w="1581" w:type="dxa"/>
            <w:vAlign w:val="center"/>
          </w:tcPr>
          <w:p w:rsidR="00F11AAD" w:rsidRPr="00287125" w:rsidRDefault="00AF1FAC" w:rsidP="00F11AAD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7125">
              <w:rPr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91" w:type="dxa"/>
            <w:vAlign w:val="center"/>
          </w:tcPr>
          <w:p w:rsidR="00F11AAD" w:rsidRPr="00287125" w:rsidRDefault="00884183" w:rsidP="00F11AAD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7125">
              <w:rPr>
                <w:sz w:val="24"/>
                <w:szCs w:val="24"/>
              </w:rPr>
              <w:t>–</w:t>
            </w:r>
          </w:p>
        </w:tc>
        <w:tc>
          <w:tcPr>
            <w:tcW w:w="1565" w:type="dxa"/>
            <w:vAlign w:val="center"/>
          </w:tcPr>
          <w:p w:rsidR="00F11AAD" w:rsidRPr="00287125" w:rsidRDefault="00884183" w:rsidP="00F11AAD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7125">
              <w:rPr>
                <w:sz w:val="24"/>
                <w:szCs w:val="24"/>
              </w:rPr>
              <w:t>–</w:t>
            </w:r>
          </w:p>
        </w:tc>
        <w:tc>
          <w:tcPr>
            <w:tcW w:w="1577" w:type="dxa"/>
            <w:vAlign w:val="center"/>
          </w:tcPr>
          <w:p w:rsidR="00F11AAD" w:rsidRPr="00287125" w:rsidRDefault="00884183" w:rsidP="00F11AAD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7125">
              <w:rPr>
                <w:sz w:val="24"/>
                <w:szCs w:val="24"/>
              </w:rPr>
              <w:t>–</w:t>
            </w:r>
          </w:p>
        </w:tc>
        <w:tc>
          <w:tcPr>
            <w:tcW w:w="1575" w:type="dxa"/>
            <w:vAlign w:val="center"/>
          </w:tcPr>
          <w:p w:rsidR="00F11AAD" w:rsidRPr="00287125" w:rsidRDefault="00F11AAD" w:rsidP="00F11AAD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7125">
              <w:rPr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7581F" w:rsidRDefault="0018138A" w:rsidP="00B758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138A">
        <w:rPr>
          <w:rFonts w:ascii="Times New Roman" w:hAnsi="Times New Roman" w:cs="Times New Roman"/>
        </w:rPr>
        <w:t>*за результатами даних реєстру</w:t>
      </w:r>
      <w:r w:rsidR="00931298">
        <w:rPr>
          <w:rFonts w:ascii="Times New Roman" w:hAnsi="Times New Roman" w:cs="Times New Roman"/>
        </w:rPr>
        <w:t xml:space="preserve"> гарантів</w:t>
      </w:r>
      <w:r w:rsidRPr="0018138A">
        <w:rPr>
          <w:rFonts w:ascii="Times New Roman" w:hAnsi="Times New Roman" w:cs="Times New Roman"/>
        </w:rPr>
        <w:t xml:space="preserve"> ДФС</w:t>
      </w:r>
    </w:p>
    <w:p w:rsidR="0081426C" w:rsidRPr="0018138A" w:rsidRDefault="0081426C" w:rsidP="00B75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851"/>
        <w:gridCol w:w="3083"/>
      </w:tblGrid>
      <w:tr w:rsidR="00D11F94" w:rsidRPr="002B2667" w:rsidTr="00431CC9">
        <w:tc>
          <w:tcPr>
            <w:tcW w:w="1951" w:type="dxa"/>
          </w:tcPr>
          <w:p w:rsidR="00D11F94" w:rsidRPr="002B2667" w:rsidRDefault="00D11F94" w:rsidP="00431CC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667">
              <w:rPr>
                <w:color w:val="000000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3969" w:type="dxa"/>
          </w:tcPr>
          <w:p w:rsidR="00D11F94" w:rsidRPr="002B2667" w:rsidRDefault="00D11F94" w:rsidP="00431CC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667">
              <w:rPr>
                <w:color w:val="000000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3934" w:type="dxa"/>
            <w:gridSpan w:val="2"/>
          </w:tcPr>
          <w:p w:rsidR="00D11F94" w:rsidRPr="002B2667" w:rsidRDefault="00D11F94" w:rsidP="00431CC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667">
              <w:rPr>
                <w:color w:val="000000"/>
                <w:sz w:val="24"/>
                <w:szCs w:val="24"/>
                <w:lang w:eastAsia="ru-RU"/>
              </w:rPr>
              <w:t>Витрати</w:t>
            </w:r>
          </w:p>
        </w:tc>
      </w:tr>
      <w:tr w:rsidR="00D11F94" w:rsidRPr="002B2667" w:rsidTr="00431CC9">
        <w:tc>
          <w:tcPr>
            <w:tcW w:w="1951" w:type="dxa"/>
            <w:vAlign w:val="center"/>
          </w:tcPr>
          <w:p w:rsidR="00D11F94" w:rsidRPr="002B2667" w:rsidRDefault="00D11F94" w:rsidP="00431CC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667">
              <w:rPr>
                <w:color w:val="000000"/>
                <w:sz w:val="24"/>
                <w:szCs w:val="24"/>
                <w:lang w:eastAsia="ru-RU"/>
              </w:rPr>
              <w:t>Альтернатива 1</w:t>
            </w:r>
          </w:p>
        </w:tc>
        <w:tc>
          <w:tcPr>
            <w:tcW w:w="3969" w:type="dxa"/>
          </w:tcPr>
          <w:p w:rsidR="00D11F94" w:rsidRPr="002B2667" w:rsidRDefault="00D11F94" w:rsidP="00431CC9">
            <w:pPr>
              <w:keepNext/>
              <w:ind w:hanging="26"/>
              <w:jc w:val="both"/>
              <w:rPr>
                <w:sz w:val="24"/>
                <w:szCs w:val="24"/>
                <w:lang w:eastAsia="ru-RU"/>
              </w:rPr>
            </w:pPr>
            <w:r w:rsidRPr="002B2667">
              <w:rPr>
                <w:sz w:val="24"/>
                <w:szCs w:val="24"/>
                <w:lang w:eastAsia="ru-RU"/>
              </w:rPr>
              <w:t>Визначеність та послідовність єдиних дій державних органів та суб’єктів господарювання.</w:t>
            </w:r>
          </w:p>
          <w:p w:rsidR="00D11F94" w:rsidRPr="00AB246F" w:rsidRDefault="00D11F94" w:rsidP="00431CC9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2B2667">
              <w:rPr>
                <w:sz w:val="24"/>
                <w:szCs w:val="24"/>
                <w:lang w:eastAsia="ru-RU"/>
              </w:rPr>
              <w:t xml:space="preserve">Здійснення єдиного підходу до </w:t>
            </w:r>
            <w:r>
              <w:rPr>
                <w:sz w:val="24"/>
                <w:szCs w:val="24"/>
                <w:lang w:eastAsia="ru-RU"/>
              </w:rPr>
              <w:t>заповнення форми бланка фінансової гарантії всіма суб’єктами господарювання.</w:t>
            </w:r>
          </w:p>
        </w:tc>
        <w:tc>
          <w:tcPr>
            <w:tcW w:w="3934" w:type="dxa"/>
            <w:gridSpan w:val="2"/>
          </w:tcPr>
          <w:p w:rsidR="00D11F94" w:rsidRPr="002B2667" w:rsidRDefault="00D11F94" w:rsidP="00431CC9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Витрати відсутні</w:t>
            </w:r>
            <w:r w:rsidR="005F109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1F94" w:rsidRPr="002B2667" w:rsidTr="00431CC9">
        <w:tc>
          <w:tcPr>
            <w:tcW w:w="1951" w:type="dxa"/>
          </w:tcPr>
          <w:p w:rsidR="00D11F94" w:rsidRPr="002B2667" w:rsidRDefault="00D11F94" w:rsidP="00431CC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667">
              <w:rPr>
                <w:color w:val="000000"/>
                <w:sz w:val="24"/>
                <w:szCs w:val="24"/>
                <w:lang w:eastAsia="ru-RU"/>
              </w:rPr>
              <w:t>Альтернатива 2</w:t>
            </w:r>
          </w:p>
        </w:tc>
        <w:tc>
          <w:tcPr>
            <w:tcW w:w="3969" w:type="dxa"/>
          </w:tcPr>
          <w:p w:rsidR="00D11F94" w:rsidRPr="002B2667" w:rsidRDefault="00D11F94" w:rsidP="00431CC9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2667">
              <w:rPr>
                <w:color w:val="000000"/>
                <w:sz w:val="24"/>
                <w:szCs w:val="24"/>
                <w:lang w:eastAsia="ru-RU"/>
              </w:rPr>
              <w:t>Відсутні</w:t>
            </w:r>
          </w:p>
        </w:tc>
        <w:tc>
          <w:tcPr>
            <w:tcW w:w="3934" w:type="dxa"/>
            <w:gridSpan w:val="2"/>
          </w:tcPr>
          <w:p w:rsidR="00D11F94" w:rsidRDefault="00D11F94" w:rsidP="00431CC9">
            <w:pPr>
              <w:keepNext/>
              <w:ind w:hanging="1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Витрати відсутні</w:t>
            </w:r>
            <w:r w:rsidR="005F1090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D11F94" w:rsidRDefault="00D11F94" w:rsidP="00431CC9">
            <w:pPr>
              <w:keepNext/>
              <w:ind w:hanging="14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D11F94" w:rsidRPr="002B2667" w:rsidRDefault="00D11F94" w:rsidP="00431CC9">
            <w:pPr>
              <w:keepNext/>
              <w:ind w:hanging="1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 разі відсутності нормативно-правового акта не буде досягнуто цілей державного регулювання</w:t>
            </w:r>
          </w:p>
        </w:tc>
      </w:tr>
      <w:tr w:rsidR="00490404" w:rsidRPr="002B2667" w:rsidTr="007C3110">
        <w:tc>
          <w:tcPr>
            <w:tcW w:w="9854" w:type="dxa"/>
            <w:gridSpan w:val="4"/>
          </w:tcPr>
          <w:p w:rsidR="00490404" w:rsidRPr="002B2667" w:rsidRDefault="00490404" w:rsidP="00431CC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11F94" w:rsidRPr="002B2667" w:rsidTr="00431CC9">
        <w:tc>
          <w:tcPr>
            <w:tcW w:w="6771" w:type="dxa"/>
            <w:gridSpan w:val="3"/>
          </w:tcPr>
          <w:p w:rsidR="00D11F94" w:rsidRPr="002B2667" w:rsidRDefault="00D11F94" w:rsidP="00431CC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667">
              <w:rPr>
                <w:color w:val="000000"/>
                <w:sz w:val="24"/>
                <w:szCs w:val="24"/>
                <w:lang w:eastAsia="ru-RU"/>
              </w:rPr>
              <w:t>Сумарні витрати за альтернативами</w:t>
            </w:r>
          </w:p>
        </w:tc>
        <w:tc>
          <w:tcPr>
            <w:tcW w:w="3083" w:type="dxa"/>
          </w:tcPr>
          <w:p w:rsidR="00D11F94" w:rsidRPr="002B2667" w:rsidRDefault="00D11F94" w:rsidP="00431CC9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2667">
              <w:rPr>
                <w:color w:val="000000"/>
                <w:sz w:val="24"/>
                <w:szCs w:val="24"/>
                <w:lang w:eastAsia="ru-RU"/>
              </w:rPr>
              <w:t>Сума витрат, гривень</w:t>
            </w:r>
          </w:p>
        </w:tc>
      </w:tr>
      <w:tr w:rsidR="00D11F94" w:rsidRPr="002B2667" w:rsidTr="00431CC9">
        <w:tc>
          <w:tcPr>
            <w:tcW w:w="6771" w:type="dxa"/>
            <w:gridSpan w:val="3"/>
          </w:tcPr>
          <w:p w:rsidR="00D11F94" w:rsidRPr="002B2667" w:rsidRDefault="00D11F94" w:rsidP="00480072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2667">
              <w:rPr>
                <w:color w:val="000000"/>
                <w:sz w:val="24"/>
                <w:szCs w:val="24"/>
                <w:lang w:eastAsia="ru-RU"/>
              </w:rPr>
              <w:t>Альтернатива 1. Сумарні витрати для суб</w:t>
            </w:r>
            <w:r w:rsidR="00480072">
              <w:rPr>
                <w:color w:val="000000"/>
                <w:sz w:val="24"/>
                <w:szCs w:val="24"/>
                <w:lang w:eastAsia="ru-RU"/>
              </w:rPr>
              <w:t>’єктів господарювання великого</w:t>
            </w:r>
            <w:r w:rsidRPr="002B2667">
              <w:rPr>
                <w:color w:val="000000"/>
                <w:sz w:val="24"/>
                <w:szCs w:val="24"/>
                <w:lang w:eastAsia="ru-RU"/>
              </w:rPr>
              <w:t xml:space="preserve"> підприємництва згідно з додатком 2 до Методики проведення аналізу впливу регуляторного акта </w:t>
            </w:r>
            <w:r w:rsidR="009731BD">
              <w:rPr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083" w:type="dxa"/>
          </w:tcPr>
          <w:p w:rsidR="00D11F94" w:rsidRPr="002B2667" w:rsidRDefault="00D11F94" w:rsidP="00431CC9">
            <w:pPr>
              <w:keepNext/>
              <w:rPr>
                <w:color w:val="000000"/>
                <w:sz w:val="24"/>
                <w:szCs w:val="24"/>
                <w:lang w:eastAsia="ru-RU"/>
              </w:rPr>
            </w:pPr>
            <w:r w:rsidRPr="002B2667">
              <w:rPr>
                <w:color w:val="000000"/>
                <w:sz w:val="24"/>
                <w:szCs w:val="24"/>
                <w:lang w:eastAsia="ru-RU"/>
              </w:rPr>
              <w:t>Витрати відсутні</w:t>
            </w:r>
          </w:p>
        </w:tc>
      </w:tr>
      <w:tr w:rsidR="00D11F94" w:rsidRPr="002B2667" w:rsidTr="00431CC9">
        <w:tc>
          <w:tcPr>
            <w:tcW w:w="6771" w:type="dxa"/>
            <w:gridSpan w:val="3"/>
          </w:tcPr>
          <w:p w:rsidR="00D11F94" w:rsidRPr="002B2667" w:rsidRDefault="00D11F94" w:rsidP="00174986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2667">
              <w:rPr>
                <w:color w:val="000000"/>
                <w:sz w:val="24"/>
                <w:szCs w:val="24"/>
                <w:lang w:eastAsia="ru-RU"/>
              </w:rPr>
              <w:t xml:space="preserve">Альтернатива 2. Сумарні витрати для суб’єктів господарювання великого підприємництва згідно з додатком 2 до Методики проведення аналізу впливу регуляторного акта </w:t>
            </w:r>
            <w:r w:rsidR="009731BD">
              <w:rPr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083" w:type="dxa"/>
          </w:tcPr>
          <w:p w:rsidR="00D11F94" w:rsidRPr="002B2667" w:rsidRDefault="00D11F94" w:rsidP="00174986">
            <w:pPr>
              <w:keepNext/>
              <w:rPr>
                <w:color w:val="000000"/>
                <w:sz w:val="24"/>
                <w:szCs w:val="24"/>
                <w:lang w:eastAsia="ru-RU"/>
              </w:rPr>
            </w:pPr>
            <w:r w:rsidRPr="002B2667">
              <w:rPr>
                <w:color w:val="000000"/>
                <w:sz w:val="24"/>
                <w:szCs w:val="24"/>
                <w:lang w:eastAsia="ru-RU"/>
              </w:rPr>
              <w:t>Витрати відсутні</w:t>
            </w:r>
          </w:p>
        </w:tc>
      </w:tr>
    </w:tbl>
    <w:p w:rsidR="009731BD" w:rsidRPr="00EC691F" w:rsidRDefault="009731BD" w:rsidP="00174986">
      <w:pPr>
        <w:pStyle w:val="a5"/>
        <w:keepNext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t>** </w:t>
      </w:r>
      <w:r w:rsidRPr="00EC691F">
        <w:rPr>
          <w:sz w:val="22"/>
          <w:szCs w:val="22"/>
        </w:rPr>
        <w:t xml:space="preserve">На </w:t>
      </w:r>
      <w:r w:rsidR="000E05A2">
        <w:rPr>
          <w:sz w:val="22"/>
          <w:szCs w:val="22"/>
        </w:rPr>
        <w:t>сьогодні</w:t>
      </w:r>
      <w:r w:rsidRPr="00EC691F">
        <w:rPr>
          <w:sz w:val="22"/>
          <w:szCs w:val="22"/>
        </w:rPr>
        <w:t xml:space="preserve"> органами доходів і зборів не здійснюється спостереження за кількістю </w:t>
      </w:r>
      <w:r w:rsidR="001859A1" w:rsidRPr="00EC691F">
        <w:rPr>
          <w:sz w:val="22"/>
          <w:szCs w:val="22"/>
        </w:rPr>
        <w:t>фінансових гарантій</w:t>
      </w:r>
      <w:r w:rsidR="000E05A2">
        <w:rPr>
          <w:sz w:val="22"/>
          <w:szCs w:val="22"/>
        </w:rPr>
        <w:t>,</w:t>
      </w:r>
      <w:r w:rsidR="001859A1" w:rsidRPr="00EC691F">
        <w:rPr>
          <w:sz w:val="22"/>
          <w:szCs w:val="22"/>
        </w:rPr>
        <w:t xml:space="preserve"> виданих гарантами. </w:t>
      </w:r>
      <w:r w:rsidR="000E05A2">
        <w:rPr>
          <w:sz w:val="22"/>
          <w:szCs w:val="22"/>
        </w:rPr>
        <w:t>Тому</w:t>
      </w:r>
      <w:r w:rsidRPr="00EC691F">
        <w:rPr>
          <w:sz w:val="22"/>
          <w:szCs w:val="22"/>
        </w:rPr>
        <w:t xml:space="preserve"> здійснити розрахунок витрат на виконання вимог регуляторного акта згідно з додатками 2 та 4 до Методики проведення аналізу впливу регуляторного акта, затвердженої постановою Кабінету Міністрів України від 11 березня 2004 р</w:t>
      </w:r>
      <w:r w:rsidR="000E05A2">
        <w:rPr>
          <w:sz w:val="22"/>
          <w:szCs w:val="22"/>
        </w:rPr>
        <w:t>оку</w:t>
      </w:r>
      <w:r w:rsidRPr="00EC691F">
        <w:rPr>
          <w:sz w:val="22"/>
          <w:szCs w:val="22"/>
        </w:rPr>
        <w:t xml:space="preserve"> № 308, не вбачається можливим. </w:t>
      </w:r>
    </w:p>
    <w:p w:rsidR="00174986" w:rsidRPr="002F174B" w:rsidRDefault="00174986" w:rsidP="00174986">
      <w:pPr>
        <w:pStyle w:val="a5"/>
        <w:keepNext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94EF8" w:rsidRPr="00D11F94" w:rsidRDefault="00794EF8" w:rsidP="00794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94">
        <w:rPr>
          <w:rFonts w:ascii="Times New Roman" w:hAnsi="Times New Roman" w:cs="Times New Roman"/>
          <w:b/>
          <w:sz w:val="28"/>
          <w:szCs w:val="28"/>
        </w:rPr>
        <w:t>IV. Вибір найбільш оптимального альтернативного способу досягнення цілей</w:t>
      </w:r>
    </w:p>
    <w:tbl>
      <w:tblPr>
        <w:tblStyle w:val="5"/>
        <w:tblpPr w:leftFromText="180" w:rightFromText="180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5351"/>
      </w:tblGrid>
      <w:tr w:rsidR="00310F1B" w:rsidRPr="00D11F94" w:rsidTr="00310F1B">
        <w:tc>
          <w:tcPr>
            <w:tcW w:w="2235" w:type="dxa"/>
          </w:tcPr>
          <w:p w:rsidR="00310F1B" w:rsidRPr="00D11F94" w:rsidRDefault="00310F1B" w:rsidP="00310F1B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68" w:type="dxa"/>
          </w:tcPr>
          <w:p w:rsidR="00310F1B" w:rsidRPr="00D11F94" w:rsidRDefault="00310F1B" w:rsidP="00310F1B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Бал результативності (за чотирибальною системою оцінки)</w:t>
            </w:r>
          </w:p>
        </w:tc>
        <w:tc>
          <w:tcPr>
            <w:tcW w:w="5351" w:type="dxa"/>
          </w:tcPr>
          <w:p w:rsidR="00310F1B" w:rsidRPr="00D11F94" w:rsidRDefault="00310F1B" w:rsidP="00310F1B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10F1B" w:rsidRPr="00D11F94" w:rsidRDefault="00310F1B" w:rsidP="00310F1B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10F1B" w:rsidRPr="00D11F94" w:rsidRDefault="00310F1B" w:rsidP="00310F1B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Коментарі щодо присвоєння відповідного бала</w:t>
            </w:r>
          </w:p>
        </w:tc>
      </w:tr>
      <w:tr w:rsidR="00310F1B" w:rsidRPr="00D11F94" w:rsidTr="00310F1B">
        <w:tc>
          <w:tcPr>
            <w:tcW w:w="2235" w:type="dxa"/>
            <w:vAlign w:val="center"/>
          </w:tcPr>
          <w:p w:rsidR="00310F1B" w:rsidRPr="00D11F94" w:rsidRDefault="00310F1B" w:rsidP="00310F1B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Альтернатива 1</w:t>
            </w:r>
          </w:p>
        </w:tc>
        <w:tc>
          <w:tcPr>
            <w:tcW w:w="2268" w:type="dxa"/>
            <w:vAlign w:val="center"/>
          </w:tcPr>
          <w:p w:rsidR="00310F1B" w:rsidRPr="00D11F94" w:rsidRDefault="00310F1B" w:rsidP="00310F1B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1" w:type="dxa"/>
          </w:tcPr>
          <w:p w:rsidR="00310F1B" w:rsidRDefault="00310F1B" w:rsidP="00310F1B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Дає змогу повністю досягнути поставлен</w:t>
            </w:r>
            <w:r>
              <w:rPr>
                <w:color w:val="000000"/>
                <w:sz w:val="24"/>
                <w:szCs w:val="24"/>
                <w:lang w:eastAsia="ru-RU"/>
              </w:rPr>
              <w:t>их цілей державного регулювання.</w:t>
            </w:r>
          </w:p>
          <w:p w:rsidR="00310F1B" w:rsidRPr="006B5DBB" w:rsidRDefault="00310F1B" w:rsidP="006120B6">
            <w:pPr>
              <w:keepNext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 разі прийняття наказу Мінфіну буде реалізовано </w:t>
            </w:r>
            <w:r>
              <w:rPr>
                <w:sz w:val="24"/>
                <w:szCs w:val="24"/>
                <w:lang w:eastAsia="ru-RU"/>
              </w:rPr>
              <w:t xml:space="preserve">виконання </w:t>
            </w:r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6C2590">
              <w:rPr>
                <w:color w:val="000000"/>
                <w:sz w:val="24"/>
                <w:szCs w:val="24"/>
                <w:lang w:eastAsia="ru-RU"/>
              </w:rPr>
              <w:t>астин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6C2590">
              <w:rPr>
                <w:color w:val="000000"/>
                <w:sz w:val="24"/>
                <w:szCs w:val="24"/>
                <w:lang w:eastAsia="ru-RU"/>
              </w:rPr>
              <w:t xml:space="preserve"> третьо</w:t>
            </w:r>
            <w:r>
              <w:rPr>
                <w:color w:val="000000"/>
                <w:sz w:val="24"/>
                <w:szCs w:val="24"/>
                <w:lang w:eastAsia="ru-RU"/>
              </w:rPr>
              <w:t>ї</w:t>
            </w:r>
            <w:r w:rsidRPr="006C2590">
              <w:rPr>
                <w:color w:val="000000"/>
                <w:sz w:val="24"/>
                <w:szCs w:val="24"/>
                <w:lang w:eastAsia="ru-RU"/>
              </w:rPr>
              <w:t xml:space="preserve"> статті 311 глави 45 розділу Х </w:t>
            </w:r>
            <w:r w:rsidR="006120B6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6C2590">
              <w:rPr>
                <w:color w:val="000000"/>
                <w:sz w:val="24"/>
                <w:szCs w:val="24"/>
                <w:lang w:eastAsia="ru-RU"/>
              </w:rPr>
              <w:t>одексу</w:t>
            </w:r>
            <w:r w:rsidR="006B5DBB" w:rsidRPr="006B5DB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310F1B" w:rsidRPr="00D11F94" w:rsidTr="00310F1B">
        <w:tc>
          <w:tcPr>
            <w:tcW w:w="2235" w:type="dxa"/>
          </w:tcPr>
          <w:p w:rsidR="00310F1B" w:rsidRPr="00D11F94" w:rsidRDefault="00310F1B" w:rsidP="00310F1B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10F1B" w:rsidRPr="00D11F94" w:rsidRDefault="00310F1B" w:rsidP="00310F1B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Альтернатива 2</w:t>
            </w:r>
          </w:p>
        </w:tc>
        <w:tc>
          <w:tcPr>
            <w:tcW w:w="2268" w:type="dxa"/>
          </w:tcPr>
          <w:p w:rsidR="00310F1B" w:rsidRPr="00D11F94" w:rsidRDefault="00310F1B" w:rsidP="00310F1B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310F1B" w:rsidRPr="00D11F94" w:rsidRDefault="00310F1B" w:rsidP="00310F1B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1" w:type="dxa"/>
          </w:tcPr>
          <w:p w:rsidR="00310F1B" w:rsidRPr="00D11F94" w:rsidRDefault="00310F1B" w:rsidP="00310F1B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Не дає змоги досягнути поставлених цілей державного регулювання.</w:t>
            </w:r>
          </w:p>
          <w:p w:rsidR="00310F1B" w:rsidRPr="00D11F94" w:rsidRDefault="00310F1B" w:rsidP="00310F1B">
            <w:pPr>
              <w:keepNext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Проблема продовжує існувати</w:t>
            </w:r>
          </w:p>
        </w:tc>
      </w:tr>
    </w:tbl>
    <w:p w:rsidR="00794EF8" w:rsidRPr="00D11F94" w:rsidRDefault="00794EF8" w:rsidP="00D1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F94" w:rsidRPr="00D11F94" w:rsidRDefault="00D11F94" w:rsidP="00D11F9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551"/>
        <w:gridCol w:w="2233"/>
      </w:tblGrid>
      <w:tr w:rsidR="00D11F94" w:rsidRPr="00D11F94" w:rsidTr="00431CC9">
        <w:tc>
          <w:tcPr>
            <w:tcW w:w="2093" w:type="dxa"/>
            <w:vAlign w:val="center"/>
          </w:tcPr>
          <w:p w:rsidR="00D11F94" w:rsidRPr="00D11F94" w:rsidRDefault="00D11F94" w:rsidP="00D11F94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Рейтинг результативності</w:t>
            </w:r>
          </w:p>
        </w:tc>
        <w:tc>
          <w:tcPr>
            <w:tcW w:w="2977" w:type="dxa"/>
            <w:vAlign w:val="center"/>
          </w:tcPr>
          <w:p w:rsidR="00D11F94" w:rsidRPr="00D11F94" w:rsidRDefault="00D11F94" w:rsidP="00D11F94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Вигоди (підсумок)</w:t>
            </w:r>
          </w:p>
        </w:tc>
        <w:tc>
          <w:tcPr>
            <w:tcW w:w="2551" w:type="dxa"/>
            <w:vAlign w:val="center"/>
          </w:tcPr>
          <w:p w:rsidR="00D11F94" w:rsidRPr="00D11F94" w:rsidRDefault="00D11F94" w:rsidP="00D11F94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Витрати (підсумок)</w:t>
            </w:r>
          </w:p>
        </w:tc>
        <w:tc>
          <w:tcPr>
            <w:tcW w:w="2233" w:type="dxa"/>
          </w:tcPr>
          <w:p w:rsidR="00D11F94" w:rsidRPr="00D11F94" w:rsidRDefault="00D11F94" w:rsidP="00D11F94">
            <w:pPr>
              <w:keepNext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Обґрунтування відповідного місця альтернативи у рейтингу</w:t>
            </w:r>
          </w:p>
        </w:tc>
      </w:tr>
      <w:tr w:rsidR="00D11F94" w:rsidRPr="00D11F94" w:rsidTr="00431CC9">
        <w:tc>
          <w:tcPr>
            <w:tcW w:w="2093" w:type="dxa"/>
          </w:tcPr>
          <w:p w:rsidR="00D11F94" w:rsidRPr="00D11F94" w:rsidRDefault="00D11F94" w:rsidP="00D11F94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Альтернатива 1</w:t>
            </w:r>
          </w:p>
        </w:tc>
        <w:tc>
          <w:tcPr>
            <w:tcW w:w="2977" w:type="dxa"/>
          </w:tcPr>
          <w:p w:rsidR="00D11F94" w:rsidRPr="00D11F94" w:rsidRDefault="00894A2E" w:rsidP="00931298">
            <w:pPr>
              <w:keepNext/>
              <w:jc w:val="both"/>
              <w:rPr>
                <w:lang w:eastAsia="ru-RU"/>
              </w:rPr>
            </w:pPr>
            <w:r w:rsidRPr="00A12711">
              <w:rPr>
                <w:bCs/>
                <w:color w:val="000000"/>
                <w:sz w:val="24"/>
                <w:szCs w:val="24"/>
                <w:lang w:eastAsia="ru-RU"/>
              </w:rPr>
              <w:t>Прийняття проекту акта надасть можливість правового забезпечення та практичної реалізації взаємодії органів доходів і зборів, гарантів та осіб, відповідальних за сплату митних платежів, під час проведення передбачених Кодексом митного контролю та митного оформлення товарів, транспортних засобів комерційного призначення з використанням бланка фінансової гарантії, поданої у вигляді документа</w:t>
            </w:r>
            <w:r w:rsidR="00931298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1271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D11F94" w:rsidRPr="000A0CAB" w:rsidRDefault="00102344" w:rsidP="00D11F94">
            <w:pPr>
              <w:keepNext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 w:rsidRPr="00102344">
              <w:rPr>
                <w:color w:val="000000"/>
                <w:sz w:val="24"/>
                <w:szCs w:val="24"/>
                <w:lang w:eastAsia="ru-RU"/>
              </w:rPr>
              <w:t>Витрати відсутні</w:t>
            </w:r>
            <w:r w:rsidR="000A0CAB">
              <w:rPr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33" w:type="dxa"/>
          </w:tcPr>
          <w:p w:rsidR="00D11F94" w:rsidRDefault="00474E5F" w:rsidP="00D11F94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C738C">
              <w:rPr>
                <w:sz w:val="24"/>
                <w:szCs w:val="24"/>
              </w:rPr>
              <w:t>Є найоптимальнішою серед запропонованих альтернатив, оскільки</w:t>
            </w:r>
            <w:r w:rsidRPr="002C738C">
              <w:t xml:space="preserve"> </w:t>
            </w:r>
            <w:r w:rsidR="00894A2E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894A2E" w:rsidRDefault="00894A2E" w:rsidP="00894A2E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 </w:t>
            </w:r>
            <w:r w:rsidRPr="00894A2E">
              <w:rPr>
                <w:color w:val="000000"/>
                <w:sz w:val="24"/>
                <w:szCs w:val="24"/>
                <w:lang w:eastAsia="ru-RU"/>
              </w:rPr>
              <w:t>дає змогу повністю досягнути поставлених цілей державного регулювання;</w:t>
            </w:r>
          </w:p>
          <w:p w:rsidR="00894A2E" w:rsidRPr="00894A2E" w:rsidRDefault="00894A2E" w:rsidP="005C342E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2) у разі прийняття наказу будуть реалізовані вимоги ч</w:t>
            </w:r>
            <w:r w:rsidRPr="006C2590">
              <w:rPr>
                <w:color w:val="000000"/>
                <w:sz w:val="24"/>
                <w:szCs w:val="24"/>
                <w:lang w:eastAsia="ru-RU"/>
              </w:rPr>
              <w:t>астин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6C2590">
              <w:rPr>
                <w:color w:val="000000"/>
                <w:sz w:val="24"/>
                <w:szCs w:val="24"/>
                <w:lang w:eastAsia="ru-RU"/>
              </w:rPr>
              <w:t xml:space="preserve"> третьо</w:t>
            </w:r>
            <w:r>
              <w:rPr>
                <w:color w:val="000000"/>
                <w:sz w:val="24"/>
                <w:szCs w:val="24"/>
                <w:lang w:eastAsia="ru-RU"/>
              </w:rPr>
              <w:t>ї</w:t>
            </w:r>
            <w:r w:rsidRPr="006C2590">
              <w:rPr>
                <w:color w:val="000000"/>
                <w:sz w:val="24"/>
                <w:szCs w:val="24"/>
                <w:lang w:eastAsia="ru-RU"/>
              </w:rPr>
              <w:t xml:space="preserve"> статті 311 глави 45 розділу Х </w:t>
            </w:r>
            <w:r w:rsidR="005C342E">
              <w:rPr>
                <w:color w:val="000000"/>
                <w:sz w:val="24"/>
                <w:szCs w:val="24"/>
                <w:lang w:eastAsia="ru-RU"/>
              </w:rPr>
              <w:t>Кодексу</w:t>
            </w:r>
            <w:r w:rsidR="0093129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1F94" w:rsidRPr="00D11F94" w:rsidTr="00431CC9">
        <w:tc>
          <w:tcPr>
            <w:tcW w:w="2093" w:type="dxa"/>
          </w:tcPr>
          <w:p w:rsidR="00D11F94" w:rsidRPr="00D11F94" w:rsidRDefault="00D11F94" w:rsidP="00D11F94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2977" w:type="dxa"/>
          </w:tcPr>
          <w:p w:rsidR="00D11F94" w:rsidRPr="002C738C" w:rsidRDefault="00D11F94" w:rsidP="00D11F94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>Вигоди відсутні, оскільки проблема залишається не</w:t>
            </w:r>
            <w:r w:rsidR="002C738C" w:rsidRPr="002C738C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11F94">
              <w:rPr>
                <w:color w:val="000000"/>
                <w:sz w:val="24"/>
                <w:szCs w:val="24"/>
                <w:lang w:eastAsia="ru-RU"/>
              </w:rPr>
              <w:t>вирішеною</w:t>
            </w:r>
          </w:p>
        </w:tc>
        <w:tc>
          <w:tcPr>
            <w:tcW w:w="2551" w:type="dxa"/>
          </w:tcPr>
          <w:p w:rsidR="00D11F94" w:rsidRPr="00890447" w:rsidRDefault="006C4FDA" w:rsidP="00D11F94">
            <w:pPr>
              <w:keepNext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 разі відсутності нормативно-правового акта не буде досягнуто поставлених цілей державного регулювання</w:t>
            </w:r>
          </w:p>
        </w:tc>
        <w:tc>
          <w:tcPr>
            <w:tcW w:w="2233" w:type="dxa"/>
          </w:tcPr>
          <w:p w:rsidR="00D11F94" w:rsidRPr="00890447" w:rsidRDefault="00D11F94" w:rsidP="006C4FDA">
            <w:pPr>
              <w:keepNext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1F94">
              <w:rPr>
                <w:color w:val="000000"/>
                <w:sz w:val="24"/>
                <w:szCs w:val="24"/>
                <w:lang w:eastAsia="ru-RU"/>
              </w:rPr>
              <w:t xml:space="preserve">Є гіршою серед альтернатив, оскільки </w:t>
            </w:r>
            <w:r w:rsidR="006C4FDA">
              <w:rPr>
                <w:color w:val="000000"/>
                <w:sz w:val="24"/>
                <w:szCs w:val="24"/>
                <w:lang w:eastAsia="ru-RU"/>
              </w:rPr>
              <w:t>не дасть змоги досягнути цілей державного регулювання</w:t>
            </w:r>
          </w:p>
        </w:tc>
      </w:tr>
    </w:tbl>
    <w:p w:rsidR="00D11F94" w:rsidRPr="00D11F94" w:rsidRDefault="00D11F94" w:rsidP="005D3DB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77438" w:rsidRPr="00C77438" w:rsidRDefault="00C77438" w:rsidP="00C77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438">
        <w:rPr>
          <w:rFonts w:ascii="Times New Roman" w:hAnsi="Times New Roman" w:cs="Times New Roman"/>
          <w:b/>
          <w:sz w:val="28"/>
          <w:szCs w:val="28"/>
        </w:rPr>
        <w:t>V. Механізми та заходи, які забезпечать розв’язання визначеної проблеми</w:t>
      </w:r>
    </w:p>
    <w:p w:rsidR="00C77438" w:rsidRPr="00C77438" w:rsidRDefault="00C77438" w:rsidP="00C77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88A" w:rsidRPr="006C488A" w:rsidRDefault="006C488A" w:rsidP="006C4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88A">
        <w:rPr>
          <w:rFonts w:ascii="Times New Roman" w:hAnsi="Times New Roman" w:cs="Times New Roman"/>
          <w:i/>
          <w:sz w:val="28"/>
          <w:szCs w:val="28"/>
        </w:rPr>
        <w:t>1. Механізм дії регуляторного акта</w:t>
      </w:r>
      <w:r w:rsidRPr="006C488A">
        <w:rPr>
          <w:rFonts w:ascii="Times New Roman" w:hAnsi="Times New Roman" w:cs="Times New Roman"/>
          <w:sz w:val="28"/>
          <w:szCs w:val="28"/>
        </w:rPr>
        <w:t>.</w:t>
      </w:r>
    </w:p>
    <w:p w:rsidR="006C488A" w:rsidRPr="006C488A" w:rsidRDefault="006C488A" w:rsidP="006C488A">
      <w:pPr>
        <w:pStyle w:val="3"/>
        <w:widowControl w:val="0"/>
        <w:spacing w:before="0" w:after="0"/>
        <w:ind w:firstLine="72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C488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Основним механізмом для розв’язання визначеної проблеми є прийняття проекту наказу Міністерства фінансів України «Про затвердження форми бланка фінансової гарантії» та фактична реалізація його положень.</w:t>
      </w:r>
    </w:p>
    <w:p w:rsidR="00931298" w:rsidRDefault="001D71B5" w:rsidP="00931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Реалізація положень наказу сприятиме забезпеченню проведення передбачених Кодексом </w:t>
      </w:r>
      <w:r w:rsidRPr="00333F6B">
        <w:rPr>
          <w:rFonts w:ascii="Times New Roman" w:hAnsi="Times New Roman" w:cs="Times New Roman"/>
          <w:sz w:val="28"/>
          <w:szCs w:val="28"/>
        </w:rPr>
        <w:t>митного контролю та митного оформлення товарів, транспортних засобів комерційного призначення з використанням бланка фінансової гарантії, поданої у вигляді документа</w:t>
      </w:r>
      <w:r w:rsidR="00931298">
        <w:rPr>
          <w:rFonts w:ascii="Times New Roman" w:hAnsi="Times New Roman" w:cs="Times New Roman"/>
          <w:sz w:val="28"/>
          <w:szCs w:val="28"/>
        </w:rPr>
        <w:t>, та безумовного надходження коштів (митних платежів) до державного бюджету.</w:t>
      </w:r>
    </w:p>
    <w:p w:rsidR="001D71B5" w:rsidRDefault="001D71B5" w:rsidP="001D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73">
        <w:rPr>
          <w:rFonts w:ascii="Times New Roman" w:hAnsi="Times New Roman" w:cs="Times New Roman"/>
          <w:sz w:val="28"/>
          <w:szCs w:val="28"/>
        </w:rPr>
        <w:t>Проект акта передбачає уніфікацію застосування гарантійного фінансового документа для всіх учасників цього ринку, що дасть можливість забезпечити належний контроль за процедурою гарантування на митній території України.</w:t>
      </w:r>
    </w:p>
    <w:p w:rsidR="008E362F" w:rsidRPr="008E362F" w:rsidRDefault="008E362F" w:rsidP="008E36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62F">
        <w:rPr>
          <w:rFonts w:ascii="Times New Roman" w:hAnsi="Times New Roman" w:cs="Times New Roman"/>
          <w:i/>
          <w:sz w:val="28"/>
          <w:szCs w:val="28"/>
        </w:rPr>
        <w:t>2. Організаційні заходи впровадження регуляторного акта в дію.</w:t>
      </w:r>
    </w:p>
    <w:p w:rsidR="008E362F" w:rsidRPr="008E362F" w:rsidRDefault="008E362F" w:rsidP="008E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2F">
        <w:rPr>
          <w:rFonts w:ascii="Times New Roman" w:hAnsi="Times New Roman" w:cs="Times New Roman"/>
          <w:sz w:val="28"/>
          <w:szCs w:val="28"/>
        </w:rPr>
        <w:t>Для впровадження цього</w:t>
      </w:r>
      <w:r w:rsidR="002844EB" w:rsidRPr="002844EB">
        <w:rPr>
          <w:rFonts w:ascii="Times New Roman" w:hAnsi="Times New Roman" w:cs="Times New Roman"/>
          <w:sz w:val="28"/>
          <w:szCs w:val="28"/>
        </w:rPr>
        <w:t xml:space="preserve"> </w:t>
      </w:r>
      <w:r w:rsidR="002844EB">
        <w:rPr>
          <w:rFonts w:ascii="Times New Roman" w:hAnsi="Times New Roman" w:cs="Times New Roman"/>
          <w:sz w:val="28"/>
          <w:szCs w:val="28"/>
        </w:rPr>
        <w:t xml:space="preserve">проекту наказу </w:t>
      </w:r>
      <w:r w:rsidRPr="008E362F">
        <w:rPr>
          <w:rFonts w:ascii="Times New Roman" w:hAnsi="Times New Roman" w:cs="Times New Roman"/>
          <w:sz w:val="28"/>
          <w:szCs w:val="28"/>
        </w:rPr>
        <w:t>необхідно забезпечити інформування громадськості про вимоги регуляторного акта, шляхом його оприлюднення в засобах масової інформації</w:t>
      </w:r>
      <w:r w:rsidR="00AD733C">
        <w:rPr>
          <w:rFonts w:ascii="Times New Roman" w:hAnsi="Times New Roman" w:cs="Times New Roman"/>
          <w:sz w:val="28"/>
          <w:szCs w:val="28"/>
        </w:rPr>
        <w:t>,</w:t>
      </w:r>
      <w:r w:rsidRPr="008E362F">
        <w:rPr>
          <w:rFonts w:ascii="Times New Roman" w:hAnsi="Times New Roman" w:cs="Times New Roman"/>
          <w:sz w:val="28"/>
          <w:szCs w:val="28"/>
        </w:rPr>
        <w:t xml:space="preserve"> на офіційн</w:t>
      </w:r>
      <w:r w:rsidR="00AD733C">
        <w:rPr>
          <w:rFonts w:ascii="Times New Roman" w:hAnsi="Times New Roman" w:cs="Times New Roman"/>
          <w:sz w:val="28"/>
          <w:szCs w:val="28"/>
        </w:rPr>
        <w:t>ому</w:t>
      </w:r>
      <w:r w:rsidR="00A719AB">
        <w:rPr>
          <w:rFonts w:ascii="Times New Roman" w:hAnsi="Times New Roman" w:cs="Times New Roman"/>
          <w:sz w:val="28"/>
          <w:szCs w:val="28"/>
        </w:rPr>
        <w:t xml:space="preserve"> </w:t>
      </w:r>
      <w:r w:rsidRPr="008E362F">
        <w:rPr>
          <w:rFonts w:ascii="Times New Roman" w:hAnsi="Times New Roman" w:cs="Times New Roman"/>
          <w:sz w:val="28"/>
          <w:szCs w:val="28"/>
        </w:rPr>
        <w:t>веб-</w:t>
      </w:r>
      <w:r w:rsidR="00AD733C">
        <w:rPr>
          <w:rFonts w:ascii="Times New Roman" w:hAnsi="Times New Roman" w:cs="Times New Roman"/>
          <w:sz w:val="28"/>
          <w:szCs w:val="28"/>
        </w:rPr>
        <w:t>порталі ДФС та офіційному веб-сайті</w:t>
      </w:r>
      <w:r w:rsidRPr="008E362F">
        <w:rPr>
          <w:rFonts w:ascii="Times New Roman" w:hAnsi="Times New Roman" w:cs="Times New Roman"/>
          <w:sz w:val="28"/>
          <w:szCs w:val="28"/>
        </w:rPr>
        <w:t xml:space="preserve"> Мін</w:t>
      </w:r>
      <w:r w:rsidR="00AD733C">
        <w:rPr>
          <w:rFonts w:ascii="Times New Roman" w:hAnsi="Times New Roman" w:cs="Times New Roman"/>
          <w:sz w:val="28"/>
          <w:szCs w:val="28"/>
        </w:rPr>
        <w:t xml:space="preserve">істерства </w:t>
      </w:r>
      <w:r w:rsidRPr="008E362F">
        <w:rPr>
          <w:rFonts w:ascii="Times New Roman" w:hAnsi="Times New Roman" w:cs="Times New Roman"/>
          <w:sz w:val="28"/>
          <w:szCs w:val="28"/>
        </w:rPr>
        <w:t>фін</w:t>
      </w:r>
      <w:r w:rsidR="00AD733C">
        <w:rPr>
          <w:rFonts w:ascii="Times New Roman" w:hAnsi="Times New Roman" w:cs="Times New Roman"/>
          <w:sz w:val="28"/>
          <w:szCs w:val="28"/>
        </w:rPr>
        <w:t>ансів України.</w:t>
      </w:r>
    </w:p>
    <w:p w:rsidR="008E362F" w:rsidRPr="008E362F" w:rsidRDefault="008E362F" w:rsidP="008E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2F">
        <w:rPr>
          <w:rFonts w:ascii="Times New Roman" w:hAnsi="Times New Roman" w:cs="Times New Roman"/>
          <w:sz w:val="28"/>
          <w:szCs w:val="28"/>
        </w:rPr>
        <w:t>Ризику впливу зовнішніх факторів на дію регуляторного акта немає.</w:t>
      </w:r>
    </w:p>
    <w:p w:rsidR="008E362F" w:rsidRPr="008E362F" w:rsidRDefault="008E362F" w:rsidP="008E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2F">
        <w:rPr>
          <w:rFonts w:ascii="Times New Roman" w:hAnsi="Times New Roman" w:cs="Times New Roman"/>
          <w:sz w:val="28"/>
          <w:szCs w:val="28"/>
        </w:rPr>
        <w:t>Досягнення цілей не передбачає додаткових організаційних заходів.</w:t>
      </w:r>
    </w:p>
    <w:p w:rsidR="008E362F" w:rsidRDefault="008E362F" w:rsidP="008E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2F">
        <w:rPr>
          <w:rFonts w:ascii="Times New Roman" w:hAnsi="Times New Roman" w:cs="Times New Roman"/>
          <w:sz w:val="28"/>
          <w:szCs w:val="28"/>
        </w:rPr>
        <w:t>Можлива шкода у разі очікуваних наслідків дії акта не прогнозується.</w:t>
      </w:r>
    </w:p>
    <w:p w:rsidR="006D48DC" w:rsidRPr="00322D6C" w:rsidRDefault="006D48DC" w:rsidP="0061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D6C" w:rsidRPr="00322D6C" w:rsidRDefault="00322D6C" w:rsidP="00322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D6C">
        <w:rPr>
          <w:rFonts w:ascii="Times New Roman" w:hAnsi="Times New Roman" w:cs="Times New Roman"/>
          <w:b/>
          <w:sz w:val="28"/>
          <w:szCs w:val="28"/>
        </w:rPr>
        <w:t xml:space="preserve">VI. 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 </w:t>
      </w:r>
    </w:p>
    <w:p w:rsidR="00322D6C" w:rsidRPr="00322D6C" w:rsidRDefault="00322D6C" w:rsidP="00322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23E" w:rsidRDefault="0027223E" w:rsidP="00CF7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проекту наказу не передбачає додаткових фінансових витрат центральних органів виконавчої влади, суб’єктів господарювання та громадян.</w:t>
      </w:r>
    </w:p>
    <w:p w:rsidR="00CF79A6" w:rsidRDefault="00CF79A6" w:rsidP="00CF79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A6">
        <w:rPr>
          <w:rFonts w:ascii="Times New Roman" w:hAnsi="Times New Roman" w:cs="Times New Roman"/>
          <w:sz w:val="28"/>
          <w:szCs w:val="28"/>
        </w:rPr>
        <w:t xml:space="preserve">Виконання вимог </w:t>
      </w:r>
      <w:r w:rsidR="0024695C">
        <w:rPr>
          <w:rFonts w:ascii="Times New Roman" w:hAnsi="Times New Roman" w:cs="Times New Roman"/>
          <w:sz w:val="28"/>
          <w:szCs w:val="28"/>
        </w:rPr>
        <w:t>акта</w:t>
      </w:r>
      <w:r w:rsidRPr="00CF79A6">
        <w:rPr>
          <w:rFonts w:ascii="Times New Roman" w:hAnsi="Times New Roman" w:cs="Times New Roman"/>
          <w:sz w:val="28"/>
          <w:szCs w:val="28"/>
        </w:rPr>
        <w:t xml:space="preserve"> забезпечується в межах кошторисних витрат на </w:t>
      </w:r>
      <w:r>
        <w:rPr>
          <w:rFonts w:ascii="Times New Roman" w:hAnsi="Times New Roman" w:cs="Times New Roman"/>
          <w:sz w:val="28"/>
          <w:szCs w:val="28"/>
        </w:rPr>
        <w:t>утримання контролюючих органів.</w:t>
      </w:r>
    </w:p>
    <w:p w:rsidR="00B83DAC" w:rsidRPr="00CF79A6" w:rsidRDefault="00B83DAC" w:rsidP="00BA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7E">
        <w:rPr>
          <w:rFonts w:ascii="Times New Roman" w:hAnsi="Times New Roman" w:cs="Times New Roman"/>
          <w:sz w:val="28"/>
          <w:szCs w:val="28"/>
        </w:rPr>
        <w:t>М-Тест не проводився у зв’язку з тим, що дія проекту наказу однаково впливає на всіх суб’єктів господарювання незалежно від форми власності та рівня доходу.</w:t>
      </w:r>
    </w:p>
    <w:p w:rsidR="00322D6C" w:rsidRPr="00BA687E" w:rsidRDefault="00322D6C" w:rsidP="00615B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3F5" w:rsidRPr="00BA687E" w:rsidRDefault="002873F5" w:rsidP="00287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87E">
        <w:rPr>
          <w:rFonts w:ascii="Times New Roman" w:hAnsi="Times New Roman" w:cs="Times New Roman"/>
          <w:b/>
          <w:sz w:val="28"/>
          <w:szCs w:val="28"/>
        </w:rPr>
        <w:t>VII. Обґрунтування запропонованого строку дії регуляторного акта</w:t>
      </w:r>
    </w:p>
    <w:p w:rsidR="002873F5" w:rsidRPr="002873F5" w:rsidRDefault="002873F5" w:rsidP="00287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0E4" w:rsidRPr="006350E4" w:rsidRDefault="006350E4" w:rsidP="006350E4">
      <w:pPr>
        <w:pStyle w:val="a5"/>
        <w:widowControl w:val="0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350E4">
        <w:rPr>
          <w:color w:val="000000" w:themeColor="text1"/>
          <w:sz w:val="28"/>
          <w:szCs w:val="28"/>
        </w:rPr>
        <w:t>Термін дії є необмеженим, оскільки Кодекс, на виконання вимог якого розроблено проект наказу, має необмежений термін дії.</w:t>
      </w:r>
    </w:p>
    <w:p w:rsidR="002873F5" w:rsidRPr="006350E4" w:rsidRDefault="002873F5" w:rsidP="00287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Зважаючи на те, що регуляторний акт є актом, розробленим відповідно до норм </w:t>
      </w:r>
      <w:r w:rsidR="0066310C" w:rsidRPr="00635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Митного кодексу України</w:t>
      </w:r>
      <w:r w:rsidRPr="00635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разі внесення змін до </w:t>
      </w:r>
      <w:r w:rsidR="00931298" w:rsidRPr="00635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Кодексу </w:t>
      </w:r>
      <w:r w:rsidRPr="00635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регуляторний акт має бути приведений у відповідність з такими змінами.</w:t>
      </w:r>
    </w:p>
    <w:p w:rsidR="006350E4" w:rsidRPr="006350E4" w:rsidRDefault="006350E4" w:rsidP="006350E4">
      <w:pPr>
        <w:pStyle w:val="a5"/>
        <w:widowControl w:val="0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350E4">
        <w:rPr>
          <w:color w:val="000000" w:themeColor="text1"/>
          <w:sz w:val="28"/>
          <w:szCs w:val="28"/>
        </w:rPr>
        <w:t>Зміна терміну дії акт</w:t>
      </w:r>
      <w:r w:rsidR="007810E9">
        <w:rPr>
          <w:color w:val="000000" w:themeColor="text1"/>
          <w:sz w:val="28"/>
          <w:szCs w:val="28"/>
        </w:rPr>
        <w:t>а</w:t>
      </w:r>
      <w:r w:rsidRPr="006350E4">
        <w:rPr>
          <w:color w:val="000000" w:themeColor="text1"/>
          <w:sz w:val="28"/>
          <w:szCs w:val="28"/>
        </w:rPr>
        <w:t xml:space="preserve"> можлива в разі зміни правових актів, на виконання вимог яких </w:t>
      </w:r>
      <w:r w:rsidR="007810E9">
        <w:rPr>
          <w:color w:val="000000" w:themeColor="text1"/>
          <w:sz w:val="28"/>
          <w:szCs w:val="28"/>
        </w:rPr>
        <w:t>розроблено</w:t>
      </w:r>
      <w:r w:rsidRPr="006350E4">
        <w:rPr>
          <w:color w:val="000000" w:themeColor="text1"/>
          <w:sz w:val="28"/>
          <w:szCs w:val="28"/>
        </w:rPr>
        <w:t xml:space="preserve"> проект.</w:t>
      </w:r>
    </w:p>
    <w:p w:rsidR="006350E4" w:rsidRPr="006350E4" w:rsidRDefault="006350E4" w:rsidP="006350E4">
      <w:pPr>
        <w:pStyle w:val="a5"/>
        <w:widowControl w:val="0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350E4">
        <w:rPr>
          <w:color w:val="000000" w:themeColor="text1"/>
          <w:sz w:val="28"/>
          <w:szCs w:val="28"/>
        </w:rPr>
        <w:t>Термін набрання чинності регуляторним актом – відповідно до законодавства – з дня його офіційного опублікування.</w:t>
      </w:r>
    </w:p>
    <w:p w:rsidR="006350E4" w:rsidRPr="00832D67" w:rsidRDefault="006350E4" w:rsidP="006350E4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E6A22" w:rsidRPr="001E31AA" w:rsidRDefault="005E6A22" w:rsidP="005E6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 Визначення показників результативності дії регуляторного акта</w:t>
      </w:r>
    </w:p>
    <w:p w:rsidR="005E6A22" w:rsidRPr="001E31AA" w:rsidRDefault="005E6A22" w:rsidP="005E6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9D6" w:rsidRDefault="005E6A22" w:rsidP="00E27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Показником результативності регуляторного акта є:</w:t>
      </w:r>
    </w:p>
    <w:p w:rsidR="005E6A22" w:rsidRDefault="00E279D6" w:rsidP="00424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 нада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r w:rsidRPr="00E2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забезпечення та практичної реалізації взаємодії органів доходів і зборів, гарантів та осіб, відповідальних за сплату митних платежів, під час проведення передбачених Кодексом митного контролю та митного оформлення товарів, транспортних засобів комерційного призначення з використанням бланка фінансової гарантії, поданої у вигляді документа</w:t>
      </w:r>
      <w:r w:rsidR="005E6A22" w:rsidRPr="001E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298" w:rsidRDefault="00494149" w:rsidP="00931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73">
        <w:rPr>
          <w:rFonts w:ascii="Times New Roman" w:hAnsi="Times New Roman" w:cs="Times New Roman"/>
          <w:sz w:val="28"/>
          <w:szCs w:val="28"/>
        </w:rPr>
        <w:t>Проект акта передбачає уніфікацію застосування гарантійного фінансового документа для всіх учасників цього ринку, що дасть можливість забезпечити належний контроль за процедурою гарантування на митній території України</w:t>
      </w:r>
      <w:r w:rsidR="00931298">
        <w:rPr>
          <w:rFonts w:ascii="Times New Roman" w:hAnsi="Times New Roman" w:cs="Times New Roman"/>
          <w:sz w:val="28"/>
          <w:szCs w:val="28"/>
        </w:rPr>
        <w:t xml:space="preserve"> та надходження коштів (митних платежів) до державного бюджету.</w:t>
      </w:r>
    </w:p>
    <w:p w:rsidR="005E6A22" w:rsidRPr="005E6A22" w:rsidRDefault="005E6A22" w:rsidP="005E6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A3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прийняттям акта держава, суб’єкти господарювання не витрачатимуть додаткові кошти і час на реалізацію його норм.</w:t>
      </w:r>
    </w:p>
    <w:p w:rsidR="005E6A22" w:rsidRDefault="005E6A22" w:rsidP="005E6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2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поінформованості громадян та суб’єктів господарювання щодо основних положень</w:t>
      </w:r>
      <w:r w:rsidR="00FB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Pr="005E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високий, оскільки </w:t>
      </w:r>
      <w:r w:rsidR="00FB13B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Pr="005E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оприлюднено на офіційному </w:t>
      </w:r>
      <w:r w:rsidR="002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 w:rsidR="00FB1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r w:rsidR="002C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Мінфіну та офіційному </w:t>
      </w:r>
      <w:r w:rsidRPr="005E6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 w:rsidR="002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порталі</w:t>
      </w:r>
      <w:r w:rsidRPr="005E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D1A">
        <w:rPr>
          <w:rFonts w:ascii="Times New Roman" w:eastAsia="Times New Roman" w:hAnsi="Times New Roman" w:cs="Times New Roman"/>
          <w:sz w:val="28"/>
          <w:szCs w:val="28"/>
          <w:lang w:eastAsia="ru-RU"/>
        </w:rPr>
        <w:t>ДФС</w:t>
      </w:r>
      <w:r w:rsidRPr="005E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66F" w:rsidRDefault="0001666F" w:rsidP="005E6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B53" w:rsidRPr="00BF4B53" w:rsidRDefault="00BF4B53" w:rsidP="00BF4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 Визначення заходів, за допомогою яких здійснюватиметься відстеження результативності дії регуляторного акта</w:t>
      </w:r>
    </w:p>
    <w:p w:rsidR="00BF4B53" w:rsidRPr="00BF4B53" w:rsidRDefault="00BF4B53" w:rsidP="00BF4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B53" w:rsidRPr="00BF4B53" w:rsidRDefault="00BF4B53" w:rsidP="00943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 регуляторного акта уповноваженим органом виконавчої влади здійснюватимуться базове, пов</w:t>
      </w:r>
      <w:r w:rsidR="0094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торне та періодичні відстеження </w:t>
      </w: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результативності регуляторного акта у строки, встановлені статтею 10 Закону України „Про засади державної регуляторної політики у сфері господарської діяльності” шляхом аналізу статистичних даних за допомогою інформаційних систем ДФС</w:t>
      </w:r>
      <w:r w:rsidR="0093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звітної інформації, яка надходить </w:t>
      </w:r>
      <w:r w:rsidR="00615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ДФС від митних органів</w:t>
      </w: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B53" w:rsidRPr="00BF4B53" w:rsidRDefault="00BF4B53" w:rsidP="00943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Базове відстеження результативності регуляторного акта буде проводитись через рік після набрання чинності наказом.</w:t>
      </w:r>
    </w:p>
    <w:p w:rsidR="00BF4B53" w:rsidRDefault="00BF4B53" w:rsidP="00943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Періодичне відстеження здійснюватиметься раз на три роки, починаючи з дня виконання заходів з повторного відстеження результативності.</w:t>
      </w:r>
    </w:p>
    <w:p w:rsidR="003B7590" w:rsidRDefault="003B7590" w:rsidP="00943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Повторне відстеження буде здійснюватися через два роки після набрання чинності наказом.</w:t>
      </w:r>
    </w:p>
    <w:p w:rsidR="00BF4B53" w:rsidRPr="00BF4B53" w:rsidRDefault="00BF4B53" w:rsidP="00943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проведення відстеження результативності</w:t>
      </w:r>
      <w:r w:rsidR="00AC13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статистичний.</w:t>
      </w:r>
    </w:p>
    <w:p w:rsidR="00D02AED" w:rsidRPr="00BF4B53" w:rsidRDefault="00D02AED" w:rsidP="00943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виявлення неврегульованих та/або проблемних питань на підставі аналізу зауважень та пропозицій державних органів та суб’єктів господарювання ці питання будуть врегульовані шляхом унесення відповідних змін.</w:t>
      </w:r>
    </w:p>
    <w:p w:rsidR="00BF4B53" w:rsidRPr="00BF4B53" w:rsidRDefault="00BF4B53" w:rsidP="00943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Виконавцем заходів з відстеження є М</w:t>
      </w:r>
      <w:r w:rsidR="00204D2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іністерство фінансів України, Державна фіскальна служба України</w:t>
      </w:r>
      <w:r w:rsidRPr="00BF4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B53" w:rsidRPr="00BF4B53" w:rsidRDefault="00BF4B53" w:rsidP="00943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B53" w:rsidRDefault="00BF4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0F" w:rsidRPr="00C6380F" w:rsidRDefault="00C6380F" w:rsidP="00C638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80F">
        <w:rPr>
          <w:rFonts w:ascii="Times New Roman" w:hAnsi="Times New Roman" w:cs="Times New Roman"/>
          <w:b/>
          <w:sz w:val="28"/>
          <w:szCs w:val="28"/>
        </w:rPr>
        <w:t>В.о</w:t>
      </w:r>
      <w:r w:rsidR="005D4336">
        <w:rPr>
          <w:rFonts w:ascii="Times New Roman" w:hAnsi="Times New Roman" w:cs="Times New Roman"/>
          <w:b/>
          <w:sz w:val="28"/>
          <w:szCs w:val="28"/>
        </w:rPr>
        <w:t>. </w:t>
      </w:r>
      <w:r w:rsidRPr="00C6380F">
        <w:rPr>
          <w:rFonts w:ascii="Times New Roman" w:hAnsi="Times New Roman" w:cs="Times New Roman"/>
          <w:b/>
          <w:sz w:val="28"/>
          <w:szCs w:val="28"/>
        </w:rPr>
        <w:t>Міністра</w:t>
      </w:r>
      <w:r w:rsidR="005A528F" w:rsidRPr="00BA6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28F">
        <w:rPr>
          <w:rFonts w:ascii="Times New Roman" w:hAnsi="Times New Roman" w:cs="Times New Roman"/>
          <w:b/>
          <w:sz w:val="28"/>
          <w:szCs w:val="28"/>
        </w:rPr>
        <w:t>фінансів України</w:t>
      </w:r>
      <w:r w:rsidRPr="00C6380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6380F">
        <w:rPr>
          <w:rFonts w:ascii="Times New Roman" w:hAnsi="Times New Roman" w:cs="Times New Roman"/>
          <w:b/>
          <w:sz w:val="28"/>
          <w:szCs w:val="28"/>
        </w:rPr>
        <w:tab/>
      </w:r>
      <w:r w:rsidR="00A115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A687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11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87E">
        <w:rPr>
          <w:rFonts w:ascii="Times New Roman" w:hAnsi="Times New Roman" w:cs="Times New Roman"/>
          <w:b/>
          <w:sz w:val="28"/>
          <w:szCs w:val="28"/>
        </w:rPr>
        <w:t>Ю.ГЕЛЕТІ</w:t>
      </w:r>
      <w:bookmarkStart w:id="0" w:name="_GoBack"/>
      <w:bookmarkEnd w:id="0"/>
      <w:r w:rsidR="00BA687E">
        <w:rPr>
          <w:rFonts w:ascii="Times New Roman" w:hAnsi="Times New Roman" w:cs="Times New Roman"/>
          <w:b/>
          <w:sz w:val="28"/>
          <w:szCs w:val="28"/>
        </w:rPr>
        <w:t>Й</w:t>
      </w:r>
    </w:p>
    <w:p w:rsidR="00920C79" w:rsidRPr="00204D2E" w:rsidRDefault="0092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20C79" w:rsidRPr="00204D2E" w:rsidSect="00CA4AA4">
      <w:headerReference w:type="default" r:id="rId9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0B" w:rsidRDefault="00C63F0B" w:rsidP="00CA4AA4">
      <w:pPr>
        <w:spacing w:after="0" w:line="240" w:lineRule="auto"/>
      </w:pPr>
      <w:r>
        <w:separator/>
      </w:r>
    </w:p>
  </w:endnote>
  <w:endnote w:type="continuationSeparator" w:id="0">
    <w:p w:rsidR="00C63F0B" w:rsidRDefault="00C63F0B" w:rsidP="00CA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0B" w:rsidRDefault="00C63F0B" w:rsidP="00CA4AA4">
      <w:pPr>
        <w:spacing w:after="0" w:line="240" w:lineRule="auto"/>
      </w:pPr>
      <w:r>
        <w:separator/>
      </w:r>
    </w:p>
  </w:footnote>
  <w:footnote w:type="continuationSeparator" w:id="0">
    <w:p w:rsidR="00C63F0B" w:rsidRDefault="00C63F0B" w:rsidP="00CA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765702"/>
      <w:docPartObj>
        <w:docPartGallery w:val="Page Numbers (Top of Page)"/>
        <w:docPartUnique/>
      </w:docPartObj>
    </w:sdtPr>
    <w:sdtEndPr/>
    <w:sdtContent>
      <w:p w:rsidR="00CA4AA4" w:rsidRDefault="00B944A1">
        <w:pPr>
          <w:pStyle w:val="a6"/>
          <w:jc w:val="center"/>
        </w:pPr>
        <w:r>
          <w:fldChar w:fldCharType="begin"/>
        </w:r>
        <w:r w:rsidR="00CA4AA4">
          <w:instrText>PAGE   \* MERGEFORMAT</w:instrText>
        </w:r>
        <w:r>
          <w:fldChar w:fldCharType="separate"/>
        </w:r>
        <w:r w:rsidR="00BA687E" w:rsidRPr="00BA687E">
          <w:rPr>
            <w:noProof/>
            <w:lang w:val="ru-RU"/>
          </w:rPr>
          <w:t>7</w:t>
        </w:r>
        <w:r>
          <w:fldChar w:fldCharType="end"/>
        </w:r>
      </w:p>
    </w:sdtContent>
  </w:sdt>
  <w:p w:rsidR="00CA4AA4" w:rsidRDefault="00CA4A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573"/>
    <w:multiLevelType w:val="hybridMultilevel"/>
    <w:tmpl w:val="5CFCC2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42D97"/>
    <w:multiLevelType w:val="hybridMultilevel"/>
    <w:tmpl w:val="CAE2C0A6"/>
    <w:lvl w:ilvl="0" w:tplc="CDFCE1B0">
      <w:numFmt w:val="bullet"/>
      <w:lvlText w:val=""/>
      <w:lvlJc w:val="left"/>
      <w:pPr>
        <w:ind w:left="1620" w:hanging="90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332F7F"/>
    <w:multiLevelType w:val="hybridMultilevel"/>
    <w:tmpl w:val="63FE9D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C6473"/>
    <w:multiLevelType w:val="hybridMultilevel"/>
    <w:tmpl w:val="B97AF37C"/>
    <w:lvl w:ilvl="0" w:tplc="CDFCE1B0">
      <w:numFmt w:val="bullet"/>
      <w:lvlText w:val=""/>
      <w:lvlJc w:val="left"/>
      <w:pPr>
        <w:ind w:left="1620" w:hanging="90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BB"/>
    <w:rsid w:val="000060E1"/>
    <w:rsid w:val="00006E38"/>
    <w:rsid w:val="00012C3E"/>
    <w:rsid w:val="0001666F"/>
    <w:rsid w:val="000347BD"/>
    <w:rsid w:val="000700B8"/>
    <w:rsid w:val="000A0CAB"/>
    <w:rsid w:val="000A273B"/>
    <w:rsid w:val="000B28E2"/>
    <w:rsid w:val="000B5D98"/>
    <w:rsid w:val="000C01AC"/>
    <w:rsid w:val="000C4D6B"/>
    <w:rsid w:val="000C780E"/>
    <w:rsid w:val="000E05A2"/>
    <w:rsid w:val="000F09D2"/>
    <w:rsid w:val="000F422F"/>
    <w:rsid w:val="00102344"/>
    <w:rsid w:val="001107E2"/>
    <w:rsid w:val="00110AD5"/>
    <w:rsid w:val="00126F65"/>
    <w:rsid w:val="00126FD4"/>
    <w:rsid w:val="0013097D"/>
    <w:rsid w:val="0013217B"/>
    <w:rsid w:val="00147986"/>
    <w:rsid w:val="001538CA"/>
    <w:rsid w:val="00155856"/>
    <w:rsid w:val="00156536"/>
    <w:rsid w:val="00160029"/>
    <w:rsid w:val="00161B5C"/>
    <w:rsid w:val="00174986"/>
    <w:rsid w:val="0018138A"/>
    <w:rsid w:val="001814A8"/>
    <w:rsid w:val="001859A1"/>
    <w:rsid w:val="00197A4B"/>
    <w:rsid w:val="001A0D46"/>
    <w:rsid w:val="001B0FC8"/>
    <w:rsid w:val="001B24A5"/>
    <w:rsid w:val="001C3CB1"/>
    <w:rsid w:val="001C47BE"/>
    <w:rsid w:val="001C60DD"/>
    <w:rsid w:val="001C61DA"/>
    <w:rsid w:val="001D26F0"/>
    <w:rsid w:val="001D324D"/>
    <w:rsid w:val="001D71B5"/>
    <w:rsid w:val="001E31AA"/>
    <w:rsid w:val="001F09A3"/>
    <w:rsid w:val="001F0B1C"/>
    <w:rsid w:val="001F2F92"/>
    <w:rsid w:val="001F3D0D"/>
    <w:rsid w:val="001F6089"/>
    <w:rsid w:val="00204D2E"/>
    <w:rsid w:val="00217479"/>
    <w:rsid w:val="0022083C"/>
    <w:rsid w:val="002252D9"/>
    <w:rsid w:val="00225988"/>
    <w:rsid w:val="0023266F"/>
    <w:rsid w:val="0023539E"/>
    <w:rsid w:val="002440BF"/>
    <w:rsid w:val="0024695C"/>
    <w:rsid w:val="00246C1E"/>
    <w:rsid w:val="00260986"/>
    <w:rsid w:val="00262AAA"/>
    <w:rsid w:val="002651FD"/>
    <w:rsid w:val="0027223E"/>
    <w:rsid w:val="00282936"/>
    <w:rsid w:val="002844EB"/>
    <w:rsid w:val="00287125"/>
    <w:rsid w:val="002873F5"/>
    <w:rsid w:val="0029157F"/>
    <w:rsid w:val="002A64D6"/>
    <w:rsid w:val="002B08C9"/>
    <w:rsid w:val="002B2667"/>
    <w:rsid w:val="002C429C"/>
    <w:rsid w:val="002C4B9D"/>
    <w:rsid w:val="002C4C96"/>
    <w:rsid w:val="002C738C"/>
    <w:rsid w:val="002E74DE"/>
    <w:rsid w:val="002F174B"/>
    <w:rsid w:val="002F2A8C"/>
    <w:rsid w:val="003018FC"/>
    <w:rsid w:val="00307F81"/>
    <w:rsid w:val="00310F1B"/>
    <w:rsid w:val="00313064"/>
    <w:rsid w:val="00322D6C"/>
    <w:rsid w:val="00327347"/>
    <w:rsid w:val="003321A3"/>
    <w:rsid w:val="00333F6B"/>
    <w:rsid w:val="00335A9B"/>
    <w:rsid w:val="00340F71"/>
    <w:rsid w:val="0035465A"/>
    <w:rsid w:val="00356F80"/>
    <w:rsid w:val="00364878"/>
    <w:rsid w:val="003661E9"/>
    <w:rsid w:val="00382AB4"/>
    <w:rsid w:val="003A71A6"/>
    <w:rsid w:val="003B33D5"/>
    <w:rsid w:val="003B7590"/>
    <w:rsid w:val="003C2D25"/>
    <w:rsid w:val="003C3363"/>
    <w:rsid w:val="003E4A7C"/>
    <w:rsid w:val="00404373"/>
    <w:rsid w:val="004240FE"/>
    <w:rsid w:val="00427F5F"/>
    <w:rsid w:val="00431DEE"/>
    <w:rsid w:val="00440D1B"/>
    <w:rsid w:val="0044403E"/>
    <w:rsid w:val="00446D1A"/>
    <w:rsid w:val="00455FB6"/>
    <w:rsid w:val="00457787"/>
    <w:rsid w:val="00474E5F"/>
    <w:rsid w:val="004750FA"/>
    <w:rsid w:val="00476726"/>
    <w:rsid w:val="00480072"/>
    <w:rsid w:val="00483F58"/>
    <w:rsid w:val="00490404"/>
    <w:rsid w:val="0049223C"/>
    <w:rsid w:val="00492C22"/>
    <w:rsid w:val="0049312F"/>
    <w:rsid w:val="00494149"/>
    <w:rsid w:val="004A3611"/>
    <w:rsid w:val="004A67F2"/>
    <w:rsid w:val="004C421F"/>
    <w:rsid w:val="004E0187"/>
    <w:rsid w:val="004F0A73"/>
    <w:rsid w:val="004F37A3"/>
    <w:rsid w:val="00504261"/>
    <w:rsid w:val="00521072"/>
    <w:rsid w:val="005326E9"/>
    <w:rsid w:val="00542D7D"/>
    <w:rsid w:val="00561169"/>
    <w:rsid w:val="00565ADF"/>
    <w:rsid w:val="00575351"/>
    <w:rsid w:val="00584DF8"/>
    <w:rsid w:val="00591CB5"/>
    <w:rsid w:val="00595B4F"/>
    <w:rsid w:val="00597AD1"/>
    <w:rsid w:val="005A44FB"/>
    <w:rsid w:val="005A528F"/>
    <w:rsid w:val="005B76F1"/>
    <w:rsid w:val="005C342E"/>
    <w:rsid w:val="005C4354"/>
    <w:rsid w:val="005D377B"/>
    <w:rsid w:val="005D3DB7"/>
    <w:rsid w:val="005D4336"/>
    <w:rsid w:val="005E3568"/>
    <w:rsid w:val="005E6A22"/>
    <w:rsid w:val="005F1090"/>
    <w:rsid w:val="005F157C"/>
    <w:rsid w:val="00602ACE"/>
    <w:rsid w:val="006120B6"/>
    <w:rsid w:val="0061585A"/>
    <w:rsid w:val="00615BF2"/>
    <w:rsid w:val="00633F30"/>
    <w:rsid w:val="006350E4"/>
    <w:rsid w:val="00641A74"/>
    <w:rsid w:val="00661536"/>
    <w:rsid w:val="0066310C"/>
    <w:rsid w:val="00665330"/>
    <w:rsid w:val="00667CDE"/>
    <w:rsid w:val="00670E32"/>
    <w:rsid w:val="00672672"/>
    <w:rsid w:val="0068653F"/>
    <w:rsid w:val="0068787A"/>
    <w:rsid w:val="00692A49"/>
    <w:rsid w:val="006A6DA1"/>
    <w:rsid w:val="006B077A"/>
    <w:rsid w:val="006B5DBB"/>
    <w:rsid w:val="006C03AC"/>
    <w:rsid w:val="006C2590"/>
    <w:rsid w:val="006C297C"/>
    <w:rsid w:val="006C488A"/>
    <w:rsid w:val="006C4FDA"/>
    <w:rsid w:val="006C554E"/>
    <w:rsid w:val="006D0E5D"/>
    <w:rsid w:val="006D48DC"/>
    <w:rsid w:val="00702EFB"/>
    <w:rsid w:val="00706DD5"/>
    <w:rsid w:val="00716061"/>
    <w:rsid w:val="007200B6"/>
    <w:rsid w:val="007254FE"/>
    <w:rsid w:val="00727F86"/>
    <w:rsid w:val="00742A9F"/>
    <w:rsid w:val="00757465"/>
    <w:rsid w:val="007810E9"/>
    <w:rsid w:val="00792819"/>
    <w:rsid w:val="00794EF8"/>
    <w:rsid w:val="00797C61"/>
    <w:rsid w:val="007A06CE"/>
    <w:rsid w:val="007A661B"/>
    <w:rsid w:val="007B228A"/>
    <w:rsid w:val="007E0CC5"/>
    <w:rsid w:val="00801353"/>
    <w:rsid w:val="00805074"/>
    <w:rsid w:val="0081426C"/>
    <w:rsid w:val="00816AA0"/>
    <w:rsid w:val="008177B6"/>
    <w:rsid w:val="00817E0F"/>
    <w:rsid w:val="008240B6"/>
    <w:rsid w:val="0083052D"/>
    <w:rsid w:val="00832B2C"/>
    <w:rsid w:val="008455B9"/>
    <w:rsid w:val="008516E9"/>
    <w:rsid w:val="00852467"/>
    <w:rsid w:val="00853750"/>
    <w:rsid w:val="0086195B"/>
    <w:rsid w:val="0086363A"/>
    <w:rsid w:val="0087335F"/>
    <w:rsid w:val="0087651A"/>
    <w:rsid w:val="00882B1D"/>
    <w:rsid w:val="00884183"/>
    <w:rsid w:val="00890447"/>
    <w:rsid w:val="00894A2E"/>
    <w:rsid w:val="00897372"/>
    <w:rsid w:val="008B3644"/>
    <w:rsid w:val="008B4B9B"/>
    <w:rsid w:val="008C1139"/>
    <w:rsid w:val="008C673A"/>
    <w:rsid w:val="008D06BC"/>
    <w:rsid w:val="008E362F"/>
    <w:rsid w:val="008E5474"/>
    <w:rsid w:val="008E6C1A"/>
    <w:rsid w:val="008E7A50"/>
    <w:rsid w:val="008F173B"/>
    <w:rsid w:val="008F62B0"/>
    <w:rsid w:val="009171C9"/>
    <w:rsid w:val="00920C79"/>
    <w:rsid w:val="00920F60"/>
    <w:rsid w:val="00924F92"/>
    <w:rsid w:val="00927E0A"/>
    <w:rsid w:val="00931298"/>
    <w:rsid w:val="009438CB"/>
    <w:rsid w:val="0095483C"/>
    <w:rsid w:val="0096100C"/>
    <w:rsid w:val="009671CF"/>
    <w:rsid w:val="0097207D"/>
    <w:rsid w:val="009731BD"/>
    <w:rsid w:val="009761B6"/>
    <w:rsid w:val="00986F19"/>
    <w:rsid w:val="009D5252"/>
    <w:rsid w:val="009D7A70"/>
    <w:rsid w:val="009E7E79"/>
    <w:rsid w:val="009F2BF0"/>
    <w:rsid w:val="00A0126B"/>
    <w:rsid w:val="00A03053"/>
    <w:rsid w:val="00A050B5"/>
    <w:rsid w:val="00A1002A"/>
    <w:rsid w:val="00A1154A"/>
    <w:rsid w:val="00A118B2"/>
    <w:rsid w:val="00A12711"/>
    <w:rsid w:val="00A25493"/>
    <w:rsid w:val="00A25B1F"/>
    <w:rsid w:val="00A2700D"/>
    <w:rsid w:val="00A438A8"/>
    <w:rsid w:val="00A4500D"/>
    <w:rsid w:val="00A45364"/>
    <w:rsid w:val="00A5322B"/>
    <w:rsid w:val="00A564CD"/>
    <w:rsid w:val="00A6011A"/>
    <w:rsid w:val="00A65620"/>
    <w:rsid w:val="00A66A9A"/>
    <w:rsid w:val="00A719AB"/>
    <w:rsid w:val="00A762D6"/>
    <w:rsid w:val="00A81C73"/>
    <w:rsid w:val="00A9726C"/>
    <w:rsid w:val="00AA5BB0"/>
    <w:rsid w:val="00AB246F"/>
    <w:rsid w:val="00AB7073"/>
    <w:rsid w:val="00AC13E9"/>
    <w:rsid w:val="00AC5469"/>
    <w:rsid w:val="00AD733C"/>
    <w:rsid w:val="00AF1FAC"/>
    <w:rsid w:val="00AF40BD"/>
    <w:rsid w:val="00AF644F"/>
    <w:rsid w:val="00B061A1"/>
    <w:rsid w:val="00B10381"/>
    <w:rsid w:val="00B26C73"/>
    <w:rsid w:val="00B35528"/>
    <w:rsid w:val="00B424E9"/>
    <w:rsid w:val="00B46579"/>
    <w:rsid w:val="00B528C2"/>
    <w:rsid w:val="00B5350B"/>
    <w:rsid w:val="00B60DBF"/>
    <w:rsid w:val="00B7581F"/>
    <w:rsid w:val="00B83DAC"/>
    <w:rsid w:val="00B87016"/>
    <w:rsid w:val="00B944A1"/>
    <w:rsid w:val="00B94A6E"/>
    <w:rsid w:val="00B96295"/>
    <w:rsid w:val="00BA4F59"/>
    <w:rsid w:val="00BA594D"/>
    <w:rsid w:val="00BA687E"/>
    <w:rsid w:val="00BC0898"/>
    <w:rsid w:val="00BD6009"/>
    <w:rsid w:val="00BE11B6"/>
    <w:rsid w:val="00BE3968"/>
    <w:rsid w:val="00BE6090"/>
    <w:rsid w:val="00BF4B53"/>
    <w:rsid w:val="00C01BDB"/>
    <w:rsid w:val="00C057D2"/>
    <w:rsid w:val="00C058F3"/>
    <w:rsid w:val="00C1115C"/>
    <w:rsid w:val="00C13E2D"/>
    <w:rsid w:val="00C20B6B"/>
    <w:rsid w:val="00C366DE"/>
    <w:rsid w:val="00C36F8A"/>
    <w:rsid w:val="00C5547E"/>
    <w:rsid w:val="00C56F24"/>
    <w:rsid w:val="00C6380F"/>
    <w:rsid w:val="00C63F0B"/>
    <w:rsid w:val="00C660DB"/>
    <w:rsid w:val="00C72C42"/>
    <w:rsid w:val="00C77438"/>
    <w:rsid w:val="00CA00DE"/>
    <w:rsid w:val="00CA2525"/>
    <w:rsid w:val="00CA4AA4"/>
    <w:rsid w:val="00CA797D"/>
    <w:rsid w:val="00CB5A0E"/>
    <w:rsid w:val="00CC0B5F"/>
    <w:rsid w:val="00CC313B"/>
    <w:rsid w:val="00CC4539"/>
    <w:rsid w:val="00CC6FE5"/>
    <w:rsid w:val="00CE026D"/>
    <w:rsid w:val="00CF79A6"/>
    <w:rsid w:val="00D02AED"/>
    <w:rsid w:val="00D05DAB"/>
    <w:rsid w:val="00D10C9D"/>
    <w:rsid w:val="00D117F5"/>
    <w:rsid w:val="00D11F94"/>
    <w:rsid w:val="00D12100"/>
    <w:rsid w:val="00D26E33"/>
    <w:rsid w:val="00D33975"/>
    <w:rsid w:val="00D4680E"/>
    <w:rsid w:val="00D53924"/>
    <w:rsid w:val="00D60065"/>
    <w:rsid w:val="00D64064"/>
    <w:rsid w:val="00D8099B"/>
    <w:rsid w:val="00D82E3D"/>
    <w:rsid w:val="00D83CE2"/>
    <w:rsid w:val="00D938DB"/>
    <w:rsid w:val="00DA4692"/>
    <w:rsid w:val="00DB1DD8"/>
    <w:rsid w:val="00DC0406"/>
    <w:rsid w:val="00DE1D16"/>
    <w:rsid w:val="00DF69DD"/>
    <w:rsid w:val="00E01D77"/>
    <w:rsid w:val="00E128A4"/>
    <w:rsid w:val="00E279D6"/>
    <w:rsid w:val="00E32E08"/>
    <w:rsid w:val="00E33562"/>
    <w:rsid w:val="00E352CF"/>
    <w:rsid w:val="00E41634"/>
    <w:rsid w:val="00E51F04"/>
    <w:rsid w:val="00E610F7"/>
    <w:rsid w:val="00E86E2C"/>
    <w:rsid w:val="00E9152C"/>
    <w:rsid w:val="00EC691F"/>
    <w:rsid w:val="00ED63BE"/>
    <w:rsid w:val="00EE0CC3"/>
    <w:rsid w:val="00EF2F40"/>
    <w:rsid w:val="00EF6654"/>
    <w:rsid w:val="00F02660"/>
    <w:rsid w:val="00F11AAD"/>
    <w:rsid w:val="00F14214"/>
    <w:rsid w:val="00F34BF0"/>
    <w:rsid w:val="00F376AA"/>
    <w:rsid w:val="00F40D39"/>
    <w:rsid w:val="00F41777"/>
    <w:rsid w:val="00F44047"/>
    <w:rsid w:val="00F50055"/>
    <w:rsid w:val="00F50695"/>
    <w:rsid w:val="00F74351"/>
    <w:rsid w:val="00F758B1"/>
    <w:rsid w:val="00F865BB"/>
    <w:rsid w:val="00F91BF4"/>
    <w:rsid w:val="00FA465A"/>
    <w:rsid w:val="00FA683D"/>
    <w:rsid w:val="00FB12EF"/>
    <w:rsid w:val="00FB13B1"/>
    <w:rsid w:val="00FC3662"/>
    <w:rsid w:val="00FE4AF4"/>
    <w:rsid w:val="00FE757A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A1"/>
  </w:style>
  <w:style w:type="paragraph" w:styleId="3">
    <w:name w:val="heading 3"/>
    <w:basedOn w:val="a"/>
    <w:next w:val="a"/>
    <w:link w:val="30"/>
    <w:uiPriority w:val="99"/>
    <w:qFormat/>
    <w:rsid w:val="00322D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DE"/>
    <w:pPr>
      <w:ind w:left="720"/>
      <w:contextualSpacing/>
    </w:pPr>
  </w:style>
  <w:style w:type="table" w:styleId="a4">
    <w:name w:val="Table Grid"/>
    <w:basedOn w:val="a1"/>
    <w:uiPriority w:val="59"/>
    <w:rsid w:val="00C3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Знак"/>
    <w:basedOn w:val="a"/>
    <w:link w:val="1"/>
    <w:uiPriority w:val="99"/>
    <w:rsid w:val="00A4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Знак Знак"/>
    <w:link w:val="a5"/>
    <w:uiPriority w:val="99"/>
    <w:locked/>
    <w:rsid w:val="00A450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54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B3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A2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B2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D11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2D6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BF4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1"/>
      <w:lang w:val="ru-RU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BF4B53"/>
    <w:rPr>
      <w:rFonts w:ascii="Courier New" w:eastAsia="Times New Roman" w:hAnsi="Courier New" w:cs="Courier New"/>
      <w:color w:val="000000"/>
      <w:kern w:val="1"/>
      <w:lang w:val="ru-RU" w:eastAsia="zh-CN" w:bidi="hi-IN"/>
    </w:rPr>
  </w:style>
  <w:style w:type="table" w:customStyle="1" w:styleId="6">
    <w:name w:val="Сетка таблицы6"/>
    <w:basedOn w:val="a1"/>
    <w:next w:val="a4"/>
    <w:uiPriority w:val="59"/>
    <w:rsid w:val="00F1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4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4AA4"/>
  </w:style>
  <w:style w:type="paragraph" w:styleId="a8">
    <w:name w:val="footer"/>
    <w:basedOn w:val="a"/>
    <w:link w:val="a9"/>
    <w:uiPriority w:val="99"/>
    <w:unhideWhenUsed/>
    <w:rsid w:val="00CA4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4AA4"/>
  </w:style>
  <w:style w:type="paragraph" w:styleId="aa">
    <w:name w:val="Balloon Text"/>
    <w:basedOn w:val="a"/>
    <w:link w:val="ab"/>
    <w:uiPriority w:val="99"/>
    <w:semiHidden/>
    <w:unhideWhenUsed/>
    <w:rsid w:val="00ED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6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22D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DE"/>
    <w:pPr>
      <w:ind w:left="720"/>
      <w:contextualSpacing/>
    </w:pPr>
  </w:style>
  <w:style w:type="table" w:styleId="a4">
    <w:name w:val="Table Grid"/>
    <w:basedOn w:val="a1"/>
    <w:uiPriority w:val="59"/>
    <w:rsid w:val="00C3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Знак"/>
    <w:basedOn w:val="a"/>
    <w:link w:val="1"/>
    <w:uiPriority w:val="99"/>
    <w:rsid w:val="00A4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Знак Знак"/>
    <w:link w:val="a5"/>
    <w:uiPriority w:val="99"/>
    <w:locked/>
    <w:rsid w:val="00A450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54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B3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A2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B2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D11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2D6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BF4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1"/>
      <w:lang w:val="ru-RU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BF4B53"/>
    <w:rPr>
      <w:rFonts w:ascii="Courier New" w:eastAsia="Times New Roman" w:hAnsi="Courier New" w:cs="Courier New"/>
      <w:color w:val="000000"/>
      <w:kern w:val="1"/>
      <w:lang w:val="ru-RU" w:eastAsia="zh-CN" w:bidi="hi-IN"/>
    </w:rPr>
  </w:style>
  <w:style w:type="table" w:customStyle="1" w:styleId="6">
    <w:name w:val="Сетка таблицы6"/>
    <w:basedOn w:val="a1"/>
    <w:next w:val="a4"/>
    <w:uiPriority w:val="59"/>
    <w:rsid w:val="00F1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4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4AA4"/>
  </w:style>
  <w:style w:type="paragraph" w:styleId="a8">
    <w:name w:val="footer"/>
    <w:basedOn w:val="a"/>
    <w:link w:val="a9"/>
    <w:uiPriority w:val="99"/>
    <w:unhideWhenUsed/>
    <w:rsid w:val="00CA4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4AA4"/>
  </w:style>
  <w:style w:type="paragraph" w:styleId="aa">
    <w:name w:val="Balloon Text"/>
    <w:basedOn w:val="a"/>
    <w:link w:val="ab"/>
    <w:uiPriority w:val="99"/>
    <w:semiHidden/>
    <w:unhideWhenUsed/>
    <w:rsid w:val="00ED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6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9DFE-53F9-4721-8DD5-41C05C90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9084</Words>
  <Characters>5178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БАКУМЕНКО АЛЬОНА ЯРОСЛАВІВНА</dc:creator>
  <cp:lastModifiedBy>VAV</cp:lastModifiedBy>
  <cp:revision>3</cp:revision>
  <cp:lastPrinted>2018-07-11T07:10:00Z</cp:lastPrinted>
  <dcterms:created xsi:type="dcterms:W3CDTF">2018-08-14T06:52:00Z</dcterms:created>
  <dcterms:modified xsi:type="dcterms:W3CDTF">2018-08-14T07:51:00Z</dcterms:modified>
</cp:coreProperties>
</file>