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114B2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3D61FA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1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="00EF554F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.2023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114B2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3D61FA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1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="00EF554F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.2023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9114B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листопад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</w:t>
                            </w:r>
                            <w:r w:rsidR="0036575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2018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36575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ів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9114B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листопад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</w:t>
                      </w:r>
                      <w:r w:rsidR="00365753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2018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36575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ів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9114B2">
        <w:rPr>
          <w:rFonts w:ascii="Times New Roman" w:hAnsi="Times New Roman"/>
          <w:sz w:val="26"/>
          <w:szCs w:val="26"/>
        </w:rPr>
        <w:t>769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3D61FA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9114B2">
        <w:rPr>
          <w:rFonts w:ascii="Times New Roman" w:hAnsi="Times New Roman"/>
          <w:sz w:val="26"/>
          <w:szCs w:val="26"/>
        </w:rPr>
        <w:t>1186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9114B2">
        <w:rPr>
          <w:rFonts w:ascii="Times New Roman" w:hAnsi="Times New Roman"/>
          <w:sz w:val="26"/>
          <w:szCs w:val="26"/>
        </w:rPr>
        <w:t>8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9114B2">
        <w:rPr>
          <w:rFonts w:ascii="Times New Roman" w:hAnsi="Times New Roman"/>
          <w:sz w:val="26"/>
          <w:szCs w:val="26"/>
        </w:rPr>
        <w:t>55</w:t>
      </w:r>
    </w:p>
    <w:p w:rsidR="005533DC" w:rsidRPr="00284C97" w:rsidRDefault="009114B2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B0A12BC" wp14:editId="36185705">
            <wp:extent cx="5010151" cy="1408235"/>
            <wp:effectExtent l="0" t="0" r="19050" b="20955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C45C3C" w:rsidRDefault="0084716A" w:rsidP="003D61FA">
      <w:pPr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15360850" wp14:editId="54E9AB45">
                <wp:simplePos x="0" y="0"/>
                <wp:positionH relativeFrom="column">
                  <wp:posOffset>-91440</wp:posOffset>
                </wp:positionH>
                <wp:positionV relativeFrom="paragraph">
                  <wp:posOffset>1865630</wp:posOffset>
                </wp:positionV>
                <wp:extent cx="6534150" cy="5143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</w:t>
                            </w:r>
                            <w:r w:rsidR="009114B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</w:t>
                            </w:r>
                            <w:r w:rsidR="009677D4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46.9pt;width:514.5pt;height:40.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</w:t>
                      </w:r>
                      <w:r w:rsidR="009114B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</w:t>
                      </w:r>
                      <w:r w:rsidR="009677D4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Із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EF554F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2018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365753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9114B2">
        <w:rPr>
          <w:noProof/>
          <w:lang w:eastAsia="uk-UA"/>
        </w:rPr>
        <w:drawing>
          <wp:inline distT="0" distB="0" distL="0" distR="0" wp14:anchorId="6A774483" wp14:editId="2ECF9DE7">
            <wp:extent cx="6657975" cy="177165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114B2" w:rsidRPr="009114B2">
        <w:rPr>
          <w:noProof/>
          <w:lang w:eastAsia="uk-UA"/>
        </w:rPr>
        <w:t xml:space="preserve"> </w:t>
      </w:r>
      <w:r w:rsidR="009114B2">
        <w:rPr>
          <w:noProof/>
          <w:lang w:eastAsia="uk-UA"/>
        </w:rPr>
        <w:drawing>
          <wp:inline distT="0" distB="0" distL="0" distR="0" wp14:anchorId="6A8229F6" wp14:editId="2F159449">
            <wp:extent cx="6438900" cy="1800225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D4987">
        <w:rPr>
          <w:noProof/>
          <w:lang w:eastAsia="uk-UA"/>
        </w:rPr>
        <w:t xml:space="preserve"> </w:t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 w:rsidR="003D61FA">
        <w:rPr>
          <w:rFonts w:ascii="Times New Roman" w:hAnsi="Times New Roman"/>
          <w:b/>
          <w:sz w:val="26"/>
          <w:szCs w:val="26"/>
          <w:lang w:val="ru-RU"/>
        </w:rPr>
        <w:t>1</w:t>
      </w:r>
      <w:r w:rsidR="009114B2">
        <w:rPr>
          <w:rFonts w:ascii="Times New Roman" w:hAnsi="Times New Roman"/>
          <w:b/>
          <w:sz w:val="26"/>
          <w:szCs w:val="26"/>
          <w:lang w:val="ru-RU"/>
        </w:rPr>
        <w:t>21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42065E">
        <w:rPr>
          <w:rFonts w:ascii="Times New Roman" w:hAnsi="Times New Roman"/>
          <w:sz w:val="26"/>
          <w:szCs w:val="26"/>
        </w:rPr>
        <w:t>у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</w:t>
      </w:r>
      <w:bookmarkStart w:id="0" w:name="_GoBack"/>
      <w:bookmarkEnd w:id="0"/>
      <w:r w:rsidR="00A26FF1" w:rsidRPr="00936B1B">
        <w:rPr>
          <w:rFonts w:ascii="Times New Roman" w:hAnsi="Times New Roman"/>
          <w:bCs/>
          <w:sz w:val="26"/>
          <w:szCs w:val="26"/>
        </w:rPr>
        <w:t>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4A1D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0596"/>
    <w:rsid w:val="001B6102"/>
    <w:rsid w:val="001C4EDA"/>
    <w:rsid w:val="001C51CC"/>
    <w:rsid w:val="001C6E80"/>
    <w:rsid w:val="001E6979"/>
    <w:rsid w:val="001F475A"/>
    <w:rsid w:val="001F5D29"/>
    <w:rsid w:val="001F76D2"/>
    <w:rsid w:val="0020266D"/>
    <w:rsid w:val="00202EED"/>
    <w:rsid w:val="002061AB"/>
    <w:rsid w:val="0021414A"/>
    <w:rsid w:val="0021527A"/>
    <w:rsid w:val="00217886"/>
    <w:rsid w:val="002210BA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5753"/>
    <w:rsid w:val="0036662D"/>
    <w:rsid w:val="0036774A"/>
    <w:rsid w:val="00367A4C"/>
    <w:rsid w:val="0037098A"/>
    <w:rsid w:val="003948FF"/>
    <w:rsid w:val="003D61FA"/>
    <w:rsid w:val="003F4ADB"/>
    <w:rsid w:val="003F50BD"/>
    <w:rsid w:val="0042065E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05BC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1F2C"/>
    <w:rsid w:val="006F2864"/>
    <w:rsid w:val="00701DA7"/>
    <w:rsid w:val="00712C7B"/>
    <w:rsid w:val="00722913"/>
    <w:rsid w:val="00727F14"/>
    <w:rsid w:val="007303D8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06BB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87468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14B2"/>
    <w:rsid w:val="00915A01"/>
    <w:rsid w:val="00933615"/>
    <w:rsid w:val="00934327"/>
    <w:rsid w:val="00936B1B"/>
    <w:rsid w:val="0094609F"/>
    <w:rsid w:val="00952BD5"/>
    <w:rsid w:val="009609A5"/>
    <w:rsid w:val="00965548"/>
    <w:rsid w:val="009677D4"/>
    <w:rsid w:val="00971E80"/>
    <w:rsid w:val="00974A58"/>
    <w:rsid w:val="009913F5"/>
    <w:rsid w:val="009A2691"/>
    <w:rsid w:val="009A6C20"/>
    <w:rsid w:val="009B3390"/>
    <w:rsid w:val="009C0EA5"/>
    <w:rsid w:val="009D264F"/>
    <w:rsid w:val="009D4987"/>
    <w:rsid w:val="009E09A3"/>
    <w:rsid w:val="009E1107"/>
    <w:rsid w:val="009E69AF"/>
    <w:rsid w:val="009F3EA6"/>
    <w:rsid w:val="00A060FC"/>
    <w:rsid w:val="00A2246F"/>
    <w:rsid w:val="00A26FF1"/>
    <w:rsid w:val="00A35343"/>
    <w:rsid w:val="00A42295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E4CD2"/>
    <w:rsid w:val="00CF1C85"/>
    <w:rsid w:val="00CF3861"/>
    <w:rsid w:val="00CF7EBD"/>
    <w:rsid w:val="00D04C97"/>
    <w:rsid w:val="00D10F77"/>
    <w:rsid w:val="00D3730E"/>
    <w:rsid w:val="00D50A8A"/>
    <w:rsid w:val="00D51F1B"/>
    <w:rsid w:val="00D631DA"/>
    <w:rsid w:val="00D669B4"/>
    <w:rsid w:val="00D76807"/>
    <w:rsid w:val="00D77547"/>
    <w:rsid w:val="00D94B80"/>
    <w:rsid w:val="00DA5158"/>
    <w:rsid w:val="00DB28E9"/>
    <w:rsid w:val="00DB7F6E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EF554F"/>
    <w:rsid w:val="00F16D89"/>
    <w:rsid w:val="00F34B5B"/>
    <w:rsid w:val="00F433D2"/>
    <w:rsid w:val="00F56E23"/>
    <w:rsid w:val="00F70133"/>
    <w:rsid w:val="00F71217"/>
    <w:rsid w:val="00F7452F"/>
    <w:rsid w:val="00F82335"/>
    <w:rsid w:val="00F84C2C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2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2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12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>
                  <c:v>0.38109999999999999</c:v>
                </c:pt>
                <c:pt idx="1">
                  <c:v>0.5877</c:v>
                </c:pt>
                <c:pt idx="2">
                  <c:v>3.8999999999999998E-3</c:v>
                </c:pt>
                <c:pt idx="3">
                  <c:v>2.725E-2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38%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223328022413619"/>
          <c:y val="6.6910744802323535E-2"/>
          <c:w val="0.49621246757645032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4651414281369335"/>
                  <c:y val="-5.6444557333559116E-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694396569527521"/>
                  <c:y val="-5.2013659582874723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428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8984263233183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ysClr val="windowText" lastClr="000000"/>
                        </a:solidFill>
                      </a:rPr>
                      <a:t>18</a:t>
                    </a:r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306151645207424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1036</c:v>
                </c:pt>
                <c:pt idx="1">
                  <c:v>428</c:v>
                </c:pt>
                <c:pt idx="2">
                  <c:v>18</c:v>
                </c:pt>
                <c:pt idx="3">
                  <c:v>536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235532288"/>
        <c:axId val="207566464"/>
      </c:barChart>
      <c:catAx>
        <c:axId val="23553228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207566464"/>
        <c:crosses val="autoZero"/>
        <c:auto val="1"/>
        <c:lblAlgn val="l"/>
        <c:lblOffset val="100"/>
        <c:noMultiLvlLbl val="0"/>
      </c:catAx>
      <c:valAx>
        <c:axId val="2075664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355322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81.96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3289219129298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4.9550000000000001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408054342552159E-3"/>
                  <c:y val="-7.4390841989821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35532800"/>
        <c:axId val="207563584"/>
        <c:axId val="0"/>
      </c:bar3DChart>
      <c:catAx>
        <c:axId val="235532800"/>
        <c:scaling>
          <c:orientation val="minMax"/>
        </c:scaling>
        <c:delete val="1"/>
        <c:axPos val="b"/>
        <c:majorTickMark val="none"/>
        <c:minorTickMark val="none"/>
        <c:tickLblPos val="nextTo"/>
        <c:crossAx val="207563584"/>
        <c:crosses val="autoZero"/>
        <c:auto val="1"/>
        <c:lblAlgn val="ctr"/>
        <c:lblOffset val="100"/>
        <c:noMultiLvlLbl val="0"/>
      </c:catAx>
      <c:valAx>
        <c:axId val="20756358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3553280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28153339987431142"/>
          <c:w val="0.3326775856074759"/>
          <c:h val="0.561972077433982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1738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240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40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4B8E25EC-0174-4B92-9791-3D83507C0C70}" type="presOf" srcId="{91B127A4-7687-4B9C-8277-4DA637D89E0B}" destId="{92ED5C20-74B8-424A-B064-F713C26C5FBD}" srcOrd="0" destOrd="0" presId="urn:microsoft.com/office/officeart/2005/8/layout/gear1"/>
    <dgm:cxn modelId="{7E0ADD4F-D335-4821-8291-7F6ED3DC103E}" type="presOf" srcId="{01EDCC8E-781E-4C8F-BFCF-4D95D418B016}" destId="{AC54B38B-36A7-4607-B2E0-E35C2739A70F}" srcOrd="0" destOrd="0" presId="urn:microsoft.com/office/officeart/2005/8/layout/gear1"/>
    <dgm:cxn modelId="{F371EA9E-BED5-4AD0-9BA4-8042128B92AD}" type="presOf" srcId="{C6ACEAE4-5954-4A6F-9B40-8F8ABFB5C2D9}" destId="{9934422A-E572-41A5-BD6D-ECD08FF9C7A0}" srcOrd="0" destOrd="0" presId="urn:microsoft.com/office/officeart/2005/8/layout/gear1"/>
    <dgm:cxn modelId="{F3A8409D-32BA-45FE-AC4D-F0F19961FC99}" type="presOf" srcId="{6C9E751C-165E-4C68-A562-1408E5631405}" destId="{D0114485-6EE9-40B8-8BCB-C618F76B48AF}" srcOrd="1" destOrd="0" presId="urn:microsoft.com/office/officeart/2005/8/layout/gear1"/>
    <dgm:cxn modelId="{DBB0260A-9786-42A1-9103-2C974163EE85}" type="presOf" srcId="{C6ACEAE4-5954-4A6F-9B40-8F8ABFB5C2D9}" destId="{3C3CC51C-0B0B-473C-95EF-43063944F3A4}" srcOrd="2" destOrd="0" presId="urn:microsoft.com/office/officeart/2005/8/layout/gear1"/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A169C91C-E26F-44AE-AF0D-711467ADABE0}" type="presOf" srcId="{EC013BFE-6920-472E-A239-9CFD8A3A1A38}" destId="{0065D1DD-C0D9-4BE7-BC9D-A00111A1ADDB}" srcOrd="0" destOrd="0" presId="urn:microsoft.com/office/officeart/2005/8/layout/gear1"/>
    <dgm:cxn modelId="{C32298E5-47D5-41AF-9A31-0E9DCF5B36D1}" type="presOf" srcId="{DEB00B42-ACB3-43E1-B041-A697C63D0CD2}" destId="{A7F32443-9E36-46D1-A4FF-ED1AFE52713A}" srcOrd="0" destOrd="0" presId="urn:microsoft.com/office/officeart/2005/8/layout/gear1"/>
    <dgm:cxn modelId="{EBC9AF65-72F7-4019-AABF-E0B129EED940}" type="presOf" srcId="{13DF38C5-7E86-4695-8E70-CF8E447134CE}" destId="{0F383247-AC09-4D7A-A99B-3DE51C1D3BDF}" srcOrd="0" destOrd="0" presId="urn:microsoft.com/office/officeart/2005/8/layout/gear1"/>
    <dgm:cxn modelId="{D43D53A5-263F-46A3-95C0-ADCBF22EC6EF}" type="presOf" srcId="{C6ACEAE4-5954-4A6F-9B40-8F8ABFB5C2D9}" destId="{74D795A2-F652-4F5C-8392-570C335250C5}" srcOrd="1" destOrd="0" presId="urn:microsoft.com/office/officeart/2005/8/layout/gear1"/>
    <dgm:cxn modelId="{F25FBA03-11C7-4AF4-8646-A98573E00476}" type="presOf" srcId="{91B127A4-7687-4B9C-8277-4DA637D89E0B}" destId="{3E1A1A6E-1C82-448A-97CE-BF8BB7CA171C}" srcOrd="3" destOrd="0" presId="urn:microsoft.com/office/officeart/2005/8/layout/gear1"/>
    <dgm:cxn modelId="{927A70E4-4AF2-487C-82A1-1E168D15400A}" type="presOf" srcId="{A1A9603E-7CB1-44B6-9CAA-7FD6070CF579}" destId="{33B33E1C-2EE9-4E73-A1A1-2E6CF858C6A2}" srcOrd="0" destOrd="0" presId="urn:microsoft.com/office/officeart/2005/8/layout/gear1"/>
    <dgm:cxn modelId="{C821E32F-1CC7-4E0D-BD0F-B7458C0DE2CF}" type="presOf" srcId="{91B127A4-7687-4B9C-8277-4DA637D89E0B}" destId="{728E8210-1CF0-4B78-A346-234140FA0AB5}" srcOrd="2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377272C0-843D-4297-BE43-3EB797421713}" type="presOf" srcId="{06CB3C54-0157-42E1-A347-803D2D666C17}" destId="{7A26031B-949F-47B7-B9E7-F4D800AD7E4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155B1D9A-672E-4322-8E20-86ADFBCF1888}" type="presOf" srcId="{6C9E751C-165E-4C68-A562-1408E5631405}" destId="{46A7CA56-173B-45D0-97A4-D825BF619A8F}" srcOrd="0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D0F01588-3906-4D06-A206-84AE7C66E545}" type="presOf" srcId="{91B127A4-7687-4B9C-8277-4DA637D89E0B}" destId="{1F3B6C42-D743-440B-9259-9CF3733BA6C3}" srcOrd="1" destOrd="0" presId="urn:microsoft.com/office/officeart/2005/8/layout/gear1"/>
    <dgm:cxn modelId="{CE408E26-C57F-4BFE-ADFF-B06DF4DBB042}" type="presOf" srcId="{872E4495-0CBE-4DF6-83F3-23C8CC321CB5}" destId="{A26DE454-46C0-43C5-85B6-9BA1926B895B}" srcOrd="0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92CCBF01-4651-429E-B142-EC8FE10FF3FA}" type="presOf" srcId="{6C9E751C-165E-4C68-A562-1408E5631405}" destId="{6A773348-4D56-4B4F-8D28-F95D356C421A}" srcOrd="2" destOrd="0" presId="urn:microsoft.com/office/officeart/2005/8/layout/gear1"/>
    <dgm:cxn modelId="{66591C18-41E9-47F9-A414-BDA3643E5C90}" type="presParOf" srcId="{7A26031B-949F-47B7-B9E7-F4D800AD7E4D}" destId="{9934422A-E572-41A5-BD6D-ECD08FF9C7A0}" srcOrd="0" destOrd="0" presId="urn:microsoft.com/office/officeart/2005/8/layout/gear1"/>
    <dgm:cxn modelId="{FD0903BE-0031-45F5-A414-D2DAE9441FED}" type="presParOf" srcId="{7A26031B-949F-47B7-B9E7-F4D800AD7E4D}" destId="{74D795A2-F652-4F5C-8392-570C335250C5}" srcOrd="1" destOrd="0" presId="urn:microsoft.com/office/officeart/2005/8/layout/gear1"/>
    <dgm:cxn modelId="{1EDB0C47-23FD-4135-8284-631A4C0BC9E8}" type="presParOf" srcId="{7A26031B-949F-47B7-B9E7-F4D800AD7E4D}" destId="{3C3CC51C-0B0B-473C-95EF-43063944F3A4}" srcOrd="2" destOrd="0" presId="urn:microsoft.com/office/officeart/2005/8/layout/gear1"/>
    <dgm:cxn modelId="{9AB24450-0EE3-4D50-9754-9ECE7DC1D810}" type="presParOf" srcId="{7A26031B-949F-47B7-B9E7-F4D800AD7E4D}" destId="{A7F32443-9E36-46D1-A4FF-ED1AFE52713A}" srcOrd="3" destOrd="0" presId="urn:microsoft.com/office/officeart/2005/8/layout/gear1"/>
    <dgm:cxn modelId="{AA0FB7A8-00B8-48BC-BBE4-F2CF9B3608FF}" type="presParOf" srcId="{7A26031B-949F-47B7-B9E7-F4D800AD7E4D}" destId="{46A7CA56-173B-45D0-97A4-D825BF619A8F}" srcOrd="4" destOrd="0" presId="urn:microsoft.com/office/officeart/2005/8/layout/gear1"/>
    <dgm:cxn modelId="{D1E5833B-B3BA-44A7-9C3F-5413D07DB2D9}" type="presParOf" srcId="{7A26031B-949F-47B7-B9E7-F4D800AD7E4D}" destId="{D0114485-6EE9-40B8-8BCB-C618F76B48AF}" srcOrd="5" destOrd="0" presId="urn:microsoft.com/office/officeart/2005/8/layout/gear1"/>
    <dgm:cxn modelId="{E6E1EFA3-714F-4532-9E00-5EB093859ECA}" type="presParOf" srcId="{7A26031B-949F-47B7-B9E7-F4D800AD7E4D}" destId="{6A773348-4D56-4B4F-8D28-F95D356C421A}" srcOrd="6" destOrd="0" presId="urn:microsoft.com/office/officeart/2005/8/layout/gear1"/>
    <dgm:cxn modelId="{122EF2D2-E51E-43F7-BEC8-F17C4CD5FE47}" type="presParOf" srcId="{7A26031B-949F-47B7-B9E7-F4D800AD7E4D}" destId="{0065D1DD-C0D9-4BE7-BC9D-A00111A1ADDB}" srcOrd="7" destOrd="0" presId="urn:microsoft.com/office/officeart/2005/8/layout/gear1"/>
    <dgm:cxn modelId="{81E41243-F452-4EF0-A8E0-B5CDD12917E1}" type="presParOf" srcId="{7A26031B-949F-47B7-B9E7-F4D800AD7E4D}" destId="{92ED5C20-74B8-424A-B064-F713C26C5FBD}" srcOrd="8" destOrd="0" presId="urn:microsoft.com/office/officeart/2005/8/layout/gear1"/>
    <dgm:cxn modelId="{290DDBFA-C2B7-48EE-9DEE-F3850D120A82}" type="presParOf" srcId="{7A26031B-949F-47B7-B9E7-F4D800AD7E4D}" destId="{1F3B6C42-D743-440B-9259-9CF3733BA6C3}" srcOrd="9" destOrd="0" presId="urn:microsoft.com/office/officeart/2005/8/layout/gear1"/>
    <dgm:cxn modelId="{0C31EA5E-253A-4280-B3EE-4713D094B993}" type="presParOf" srcId="{7A26031B-949F-47B7-B9E7-F4D800AD7E4D}" destId="{728E8210-1CF0-4B78-A346-234140FA0AB5}" srcOrd="10" destOrd="0" presId="urn:microsoft.com/office/officeart/2005/8/layout/gear1"/>
    <dgm:cxn modelId="{4E280750-583D-4CD7-9FA1-F6AA68C914E5}" type="presParOf" srcId="{7A26031B-949F-47B7-B9E7-F4D800AD7E4D}" destId="{3E1A1A6E-1C82-448A-97CE-BF8BB7CA171C}" srcOrd="11" destOrd="0" presId="urn:microsoft.com/office/officeart/2005/8/layout/gear1"/>
    <dgm:cxn modelId="{387D6D0A-0B72-45DB-8D97-F55B56FDB272}" type="presParOf" srcId="{7A26031B-949F-47B7-B9E7-F4D800AD7E4D}" destId="{0F383247-AC09-4D7A-A99B-3DE51C1D3BDF}" srcOrd="12" destOrd="0" presId="urn:microsoft.com/office/officeart/2005/8/layout/gear1"/>
    <dgm:cxn modelId="{EF312C83-BC18-4A18-966E-C0C55507BDEA}" type="presParOf" srcId="{7A26031B-949F-47B7-B9E7-F4D800AD7E4D}" destId="{AC54B38B-36A7-4607-B2E0-E35C2739A70F}" srcOrd="13" destOrd="0" presId="urn:microsoft.com/office/officeart/2005/8/layout/gear1"/>
    <dgm:cxn modelId="{8193C3F6-2C34-4666-BBE7-C722285BFEE6}" type="presParOf" srcId="{7A26031B-949F-47B7-B9E7-F4D800AD7E4D}" destId="{A26DE454-46C0-43C5-85B6-9BA1926B895B}" srcOrd="14" destOrd="0" presId="urn:microsoft.com/office/officeart/2005/8/layout/gear1"/>
    <dgm:cxn modelId="{2273260F-A627-486D-B041-5B6A9EC11C5E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1738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240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40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007E-C4D8-4956-A83B-1E9A7225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3</cp:revision>
  <cp:lastPrinted>2023-12-04T13:03:00Z</cp:lastPrinted>
  <dcterms:created xsi:type="dcterms:W3CDTF">2023-12-04T12:36:00Z</dcterms:created>
  <dcterms:modified xsi:type="dcterms:W3CDTF">2023-12-04T13:16:00Z</dcterms:modified>
</cp:coreProperties>
</file>