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0E2F2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10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0E2F2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10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337736" w:rsidRPr="00627BFD" w:rsidRDefault="009C61FB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87448F" wp14:editId="455DEA68">
                <wp:simplePos x="0" y="0"/>
                <wp:positionH relativeFrom="column">
                  <wp:posOffset>-177165</wp:posOffset>
                </wp:positionH>
                <wp:positionV relativeFrom="paragraph">
                  <wp:posOffset>36195</wp:posOffset>
                </wp:positionV>
                <wp:extent cx="4507865" cy="8858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885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0E2F24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вересень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0E2F24" w:rsidRPr="000E2F2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1634</w:t>
                            </w:r>
                            <w:r w:rsidRPr="000E2F2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запит</w:t>
                            </w:r>
                            <w:r w:rsidR="000E2F2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95pt;margin-top:2.85pt;width:354.95pt;height:6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0E2F24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вересень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0E2F24" w:rsidRPr="000E2F2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1634</w:t>
                      </w:r>
                      <w:r w:rsidRPr="000E2F2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запит</w:t>
                      </w:r>
                      <w:r w:rsidR="000E2F2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A779DD"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133F0BB1" wp14:editId="74B04656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DA1696" w:rsidRDefault="00DA1696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0E2F24">
        <w:rPr>
          <w:rFonts w:ascii="Times New Roman" w:hAnsi="Times New Roman"/>
          <w:sz w:val="26"/>
          <w:szCs w:val="26"/>
        </w:rPr>
        <w:t>633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365753">
        <w:rPr>
          <w:rFonts w:ascii="Times New Roman" w:hAnsi="Times New Roman"/>
          <w:sz w:val="26"/>
          <w:szCs w:val="26"/>
        </w:rPr>
        <w:t>и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0E2F24">
        <w:rPr>
          <w:rFonts w:ascii="Times New Roman" w:hAnsi="Times New Roman"/>
          <w:sz w:val="26"/>
          <w:szCs w:val="26"/>
        </w:rPr>
        <w:t>953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DA1696">
        <w:rPr>
          <w:rFonts w:ascii="Times New Roman" w:hAnsi="Times New Roman"/>
          <w:sz w:val="26"/>
          <w:szCs w:val="26"/>
        </w:rPr>
        <w:t xml:space="preserve"> </w:t>
      </w:r>
      <w:r w:rsidR="00DA1696" w:rsidRPr="004A5D32">
        <w:rPr>
          <w:rFonts w:ascii="Times New Roman" w:hAnsi="Times New Roman"/>
          <w:sz w:val="26"/>
          <w:szCs w:val="26"/>
        </w:rPr>
        <w:t>–</w:t>
      </w:r>
      <w:r w:rsidR="00DA1696">
        <w:rPr>
          <w:rFonts w:ascii="Times New Roman" w:hAnsi="Times New Roman"/>
          <w:sz w:val="26"/>
          <w:szCs w:val="26"/>
        </w:rPr>
        <w:t xml:space="preserve"> </w:t>
      </w:r>
      <w:r w:rsidR="000E2F24">
        <w:rPr>
          <w:rFonts w:ascii="Times New Roman" w:hAnsi="Times New Roman"/>
          <w:sz w:val="26"/>
          <w:szCs w:val="26"/>
        </w:rPr>
        <w:t>5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5B29D1">
        <w:rPr>
          <w:rFonts w:ascii="Times New Roman" w:hAnsi="Times New Roman"/>
          <w:sz w:val="26"/>
          <w:szCs w:val="26"/>
        </w:rPr>
        <w:t>4</w:t>
      </w:r>
      <w:r w:rsidR="000E2F24">
        <w:rPr>
          <w:rFonts w:ascii="Times New Roman" w:hAnsi="Times New Roman"/>
          <w:sz w:val="26"/>
          <w:szCs w:val="26"/>
        </w:rPr>
        <w:t>3</w:t>
      </w:r>
    </w:p>
    <w:p w:rsidR="005533DC" w:rsidRPr="00F16B47" w:rsidRDefault="005533DC" w:rsidP="0010184E">
      <w:pPr>
        <w:spacing w:after="0" w:line="240" w:lineRule="auto"/>
        <w:rPr>
          <w:noProof/>
          <w:lang w:eastAsia="uk-UA"/>
        </w:rPr>
      </w:pPr>
    </w:p>
    <w:p w:rsidR="00E266AF" w:rsidRPr="00E266AF" w:rsidRDefault="00762E51" w:rsidP="0010184E">
      <w:pPr>
        <w:spacing w:after="0" w:line="240" w:lineRule="auto"/>
        <w:rPr>
          <w:noProof/>
          <w:lang w:val="en-US" w:eastAsia="uk-UA"/>
        </w:rPr>
      </w:pPr>
      <w:r>
        <w:rPr>
          <w:noProof/>
          <w:lang w:eastAsia="uk-UA"/>
        </w:rPr>
        <w:drawing>
          <wp:inline distT="0" distB="0" distL="0" distR="0" wp14:anchorId="1D8070E9" wp14:editId="63785AEE">
            <wp:extent cx="5010150" cy="1304925"/>
            <wp:effectExtent l="0" t="0" r="19050" b="9525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F179F" w:rsidRPr="00EF179F" w:rsidRDefault="00EF179F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val="en-US" w:eastAsia="uk-UA"/>
        </w:rPr>
      </w:pPr>
    </w:p>
    <w:p w:rsidR="00367A4C" w:rsidRPr="00337736" w:rsidRDefault="0084716A" w:rsidP="00337736">
      <w:pPr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84E0CC7" wp14:editId="454D08CE">
                <wp:simplePos x="0" y="0"/>
                <wp:positionH relativeFrom="column">
                  <wp:posOffset>-91440</wp:posOffset>
                </wp:positionH>
                <wp:positionV relativeFrom="paragraph">
                  <wp:posOffset>2016125</wp:posOffset>
                </wp:positionV>
                <wp:extent cx="6572250" cy="4762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="008E114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</w:t>
                            </w:r>
                            <w:r w:rsidR="009D498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8E114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7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</w:t>
                            </w:r>
                            <w:r w:rsidR="009D4987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EF179F" w:rsidRDefault="00EF179F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</w:p>
                          <w:p w:rsidR="00EF179F" w:rsidRDefault="00EF179F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</w:p>
                          <w:p w:rsidR="00EF179F" w:rsidRDefault="00EF179F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  <w:t>.</w:t>
                            </w:r>
                          </w:p>
                          <w:p w:rsidR="00EF179F" w:rsidRDefault="00EF179F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</w:p>
                          <w:p w:rsidR="00EF179F" w:rsidRPr="00EF179F" w:rsidRDefault="00EF179F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58.75pt;width:517.5pt;height:37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" fillcolor="white [3212]" strokecolor="white [3212]">
                <v:fill opacity="0"/>
                <v:stroke opacity="0"/>
                <v:textbox>
                  <w:txbxContent>
                    <w:p w:rsidR="00367A4C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="008E114C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0</w:t>
                      </w:r>
                      <w:r w:rsidR="009D4987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8E114C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7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</w:t>
                      </w:r>
                      <w:r w:rsidR="009D4987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EF179F" w:rsidRDefault="00EF179F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</w:p>
                    <w:p w:rsidR="00EF179F" w:rsidRDefault="00EF179F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</w:p>
                    <w:p w:rsidR="00EF179F" w:rsidRDefault="00EF179F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  <w:t>.</w:t>
                      </w:r>
                    </w:p>
                    <w:p w:rsidR="00EF179F" w:rsidRDefault="00EF179F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</w:p>
                    <w:p w:rsidR="00EF179F" w:rsidRPr="00EF179F" w:rsidRDefault="00EF179F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0E2F24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1634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9D4987">
        <w:rPr>
          <w:noProof/>
          <w:lang w:eastAsia="uk-UA"/>
        </w:rPr>
        <w:t xml:space="preserve"> </w:t>
      </w:r>
    </w:p>
    <w:p w:rsidR="00C45C3C" w:rsidRDefault="009D4987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t xml:space="preserve"> </w:t>
      </w:r>
      <w:r w:rsidR="005933BF">
        <w:rPr>
          <w:noProof/>
          <w:lang w:eastAsia="uk-UA"/>
        </w:rPr>
        <w:drawing>
          <wp:inline distT="0" distB="0" distL="0" distR="0" wp14:anchorId="0658158C" wp14:editId="7C3F60F1">
            <wp:extent cx="6372225" cy="1771650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F179F" w:rsidRDefault="00327826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noProof/>
          <w:lang w:eastAsia="uk-UA"/>
        </w:rPr>
        <w:drawing>
          <wp:inline distT="0" distB="0" distL="0" distR="0" wp14:anchorId="36A5DAEA" wp14:editId="13CC17FB">
            <wp:extent cx="6400800" cy="191452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936B1B" w:rsidRDefault="008522A2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C4015D" w:rsidRPr="00C4015D">
        <w:rPr>
          <w:rFonts w:ascii="Times New Roman" w:hAnsi="Times New Roman"/>
          <w:b/>
          <w:sz w:val="26"/>
          <w:szCs w:val="26"/>
        </w:rPr>
        <w:t>102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7A5697" w:rsidRPr="00936B1B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bookmarkStart w:id="0" w:name="_GoBack"/>
      <w:bookmarkEnd w:id="0"/>
      <w:r w:rsidR="00A26FF1" w:rsidRPr="00936B1B">
        <w:rPr>
          <w:rFonts w:ascii="Times New Roman" w:hAnsi="Times New Roman"/>
          <w:sz w:val="26"/>
          <w:szCs w:val="26"/>
        </w:rPr>
        <w:t xml:space="preserve">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0E2F24"/>
    <w:rsid w:val="001015D4"/>
    <w:rsid w:val="0010184E"/>
    <w:rsid w:val="0010381D"/>
    <w:rsid w:val="00110825"/>
    <w:rsid w:val="00130AE0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0596"/>
    <w:rsid w:val="001B6102"/>
    <w:rsid w:val="001C4EDA"/>
    <w:rsid w:val="001C51CC"/>
    <w:rsid w:val="001C6E80"/>
    <w:rsid w:val="001E6979"/>
    <w:rsid w:val="001F475A"/>
    <w:rsid w:val="001F5D29"/>
    <w:rsid w:val="0020266D"/>
    <w:rsid w:val="00202EED"/>
    <w:rsid w:val="002061AB"/>
    <w:rsid w:val="0021414A"/>
    <w:rsid w:val="0021527A"/>
    <w:rsid w:val="00217886"/>
    <w:rsid w:val="002210BA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27826"/>
    <w:rsid w:val="00337736"/>
    <w:rsid w:val="003456BB"/>
    <w:rsid w:val="0035792B"/>
    <w:rsid w:val="00361899"/>
    <w:rsid w:val="00365753"/>
    <w:rsid w:val="0036662D"/>
    <w:rsid w:val="0036774A"/>
    <w:rsid w:val="00367A4C"/>
    <w:rsid w:val="0037098A"/>
    <w:rsid w:val="003948FF"/>
    <w:rsid w:val="003F4ADB"/>
    <w:rsid w:val="003F50BD"/>
    <w:rsid w:val="0042744B"/>
    <w:rsid w:val="00427B83"/>
    <w:rsid w:val="00437818"/>
    <w:rsid w:val="004403BD"/>
    <w:rsid w:val="004573B6"/>
    <w:rsid w:val="00462FAE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1F48"/>
    <w:rsid w:val="00552DB5"/>
    <w:rsid w:val="005533DC"/>
    <w:rsid w:val="005643C9"/>
    <w:rsid w:val="00566CD4"/>
    <w:rsid w:val="005676E6"/>
    <w:rsid w:val="00570550"/>
    <w:rsid w:val="00573A78"/>
    <w:rsid w:val="0058581D"/>
    <w:rsid w:val="005933BF"/>
    <w:rsid w:val="005940F5"/>
    <w:rsid w:val="005A3E90"/>
    <w:rsid w:val="005A40D5"/>
    <w:rsid w:val="005A608C"/>
    <w:rsid w:val="005B29D1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1F2C"/>
    <w:rsid w:val="006F2864"/>
    <w:rsid w:val="00701DA7"/>
    <w:rsid w:val="00722913"/>
    <w:rsid w:val="00727F14"/>
    <w:rsid w:val="007303D8"/>
    <w:rsid w:val="00741FE5"/>
    <w:rsid w:val="00756A7F"/>
    <w:rsid w:val="00762E51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06BB"/>
    <w:rsid w:val="007D17D5"/>
    <w:rsid w:val="007D1FD7"/>
    <w:rsid w:val="007D2223"/>
    <w:rsid w:val="007D6D51"/>
    <w:rsid w:val="007D745F"/>
    <w:rsid w:val="007E7075"/>
    <w:rsid w:val="008101FB"/>
    <w:rsid w:val="00817E4A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87468"/>
    <w:rsid w:val="00893F3A"/>
    <w:rsid w:val="008A5ACD"/>
    <w:rsid w:val="008B03A4"/>
    <w:rsid w:val="008B3940"/>
    <w:rsid w:val="008B4BD0"/>
    <w:rsid w:val="008C65F7"/>
    <w:rsid w:val="008D13BD"/>
    <w:rsid w:val="008E114C"/>
    <w:rsid w:val="008E5B3B"/>
    <w:rsid w:val="00900348"/>
    <w:rsid w:val="00915A01"/>
    <w:rsid w:val="00933615"/>
    <w:rsid w:val="00934327"/>
    <w:rsid w:val="00936B1B"/>
    <w:rsid w:val="0094609F"/>
    <w:rsid w:val="00952BD5"/>
    <w:rsid w:val="009609A5"/>
    <w:rsid w:val="00965548"/>
    <w:rsid w:val="00971E80"/>
    <w:rsid w:val="00974A58"/>
    <w:rsid w:val="009913F5"/>
    <w:rsid w:val="009A2691"/>
    <w:rsid w:val="009A6C20"/>
    <w:rsid w:val="009B3390"/>
    <w:rsid w:val="009C0EA5"/>
    <w:rsid w:val="009C61FB"/>
    <w:rsid w:val="009D264F"/>
    <w:rsid w:val="009D4987"/>
    <w:rsid w:val="009E09A3"/>
    <w:rsid w:val="009E1107"/>
    <w:rsid w:val="009E69AF"/>
    <w:rsid w:val="009F3EA6"/>
    <w:rsid w:val="00A007B4"/>
    <w:rsid w:val="00A060FC"/>
    <w:rsid w:val="00A2246F"/>
    <w:rsid w:val="00A26FF1"/>
    <w:rsid w:val="00A3215F"/>
    <w:rsid w:val="00A35343"/>
    <w:rsid w:val="00A42295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0CC4"/>
    <w:rsid w:val="00BE3086"/>
    <w:rsid w:val="00BE7568"/>
    <w:rsid w:val="00C0554F"/>
    <w:rsid w:val="00C11880"/>
    <w:rsid w:val="00C147B2"/>
    <w:rsid w:val="00C15C25"/>
    <w:rsid w:val="00C22F68"/>
    <w:rsid w:val="00C27FFD"/>
    <w:rsid w:val="00C4015D"/>
    <w:rsid w:val="00C40574"/>
    <w:rsid w:val="00C456BA"/>
    <w:rsid w:val="00C45C3C"/>
    <w:rsid w:val="00C5158E"/>
    <w:rsid w:val="00C67E46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69B4"/>
    <w:rsid w:val="00D76807"/>
    <w:rsid w:val="00D77547"/>
    <w:rsid w:val="00D94B80"/>
    <w:rsid w:val="00DA1696"/>
    <w:rsid w:val="00DA5158"/>
    <w:rsid w:val="00DB28E9"/>
    <w:rsid w:val="00DB7F6E"/>
    <w:rsid w:val="00DC2B27"/>
    <w:rsid w:val="00DF1777"/>
    <w:rsid w:val="00E00189"/>
    <w:rsid w:val="00E21166"/>
    <w:rsid w:val="00E266AF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EF179F"/>
    <w:rsid w:val="00F16B47"/>
    <w:rsid w:val="00F16D89"/>
    <w:rsid w:val="00F34B5B"/>
    <w:rsid w:val="00F56E23"/>
    <w:rsid w:val="00F70133"/>
    <w:rsid w:val="00F71217"/>
    <w:rsid w:val="00F7452F"/>
    <w:rsid w:val="00F82335"/>
    <w:rsid w:val="00F8547E"/>
    <w:rsid w:val="00F93222"/>
    <w:rsid w:val="00F9424D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8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0.39029999999999998</c:v>
                </c:pt>
                <c:pt idx="1">
                  <c:v>0.57879999999999998</c:v>
                </c:pt>
                <c:pt idx="2">
                  <c:v>1.6000000000000001E-3</c:v>
                </c:pt>
                <c:pt idx="3">
                  <c:v>2.93E-2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39%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836</c:v>
                </c:pt>
                <c:pt idx="1">
                  <c:v>355</c:v>
                </c:pt>
                <c:pt idx="2">
                  <c:v>32</c:v>
                </c:pt>
                <c:pt idx="3">
                  <c:v>411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68154112"/>
        <c:axId val="77694080"/>
      </c:barChart>
      <c:catAx>
        <c:axId val="168154112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77694080"/>
        <c:crosses val="autoZero"/>
        <c:auto val="1"/>
        <c:lblAlgn val="l"/>
        <c:lblOffset val="100"/>
        <c:noMultiLvlLbl val="0"/>
      </c:catAx>
      <c:valAx>
        <c:axId val="7769408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81541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9007624047E-2"/>
                  <c:y val="-6.4017354973485457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80.680000000000007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2245344331957782E-3"/>
                  <c:y val="-0.10153409395254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5.8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684101987253048E-3"/>
                  <c:y val="-8.678558037388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13.5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18027776"/>
        <c:axId val="168720576"/>
        <c:axId val="0"/>
      </c:bar3DChart>
      <c:catAx>
        <c:axId val="118027776"/>
        <c:scaling>
          <c:orientation val="minMax"/>
        </c:scaling>
        <c:delete val="1"/>
        <c:axPos val="b"/>
        <c:majorTickMark val="none"/>
        <c:minorTickMark val="none"/>
        <c:tickLblPos val="nextTo"/>
        <c:crossAx val="168720576"/>
        <c:crosses val="autoZero"/>
        <c:auto val="1"/>
        <c:lblAlgn val="ctr"/>
        <c:lblOffset val="100"/>
        <c:noMultiLvlLbl val="0"/>
      </c:catAx>
      <c:valAx>
        <c:axId val="16872057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18027776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461842459399904"/>
          <c:h val="0.5932709720889297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1398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205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31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14A2A919-4760-4F66-865C-B5FB3594E66D}" type="presOf" srcId="{DEB00B42-ACB3-43E1-B041-A697C63D0CD2}" destId="{A7F32443-9E36-46D1-A4FF-ED1AFE52713A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6310C8BC-73DC-4271-AC2E-A58F8667A91C}" type="presOf" srcId="{C6ACEAE4-5954-4A6F-9B40-8F8ABFB5C2D9}" destId="{74D795A2-F652-4F5C-8392-570C335250C5}" srcOrd="1" destOrd="0" presId="urn:microsoft.com/office/officeart/2005/8/layout/gear1"/>
    <dgm:cxn modelId="{93FDF43D-7D38-42F0-8169-711C08F34073}" type="presOf" srcId="{91B127A4-7687-4B9C-8277-4DA637D89E0B}" destId="{3E1A1A6E-1C82-448A-97CE-BF8BB7CA171C}" srcOrd="3" destOrd="0" presId="urn:microsoft.com/office/officeart/2005/8/layout/gear1"/>
    <dgm:cxn modelId="{530DCCAE-A869-4F08-8C1A-57F86D9A395C}" type="presOf" srcId="{91B127A4-7687-4B9C-8277-4DA637D89E0B}" destId="{728E8210-1CF0-4B78-A346-234140FA0AB5}" srcOrd="2" destOrd="0" presId="urn:microsoft.com/office/officeart/2005/8/layout/gear1"/>
    <dgm:cxn modelId="{9B738BAD-708A-4ACD-BAC5-84D2443512F4}" type="presOf" srcId="{06CB3C54-0157-42E1-A347-803D2D666C17}" destId="{7A26031B-949F-47B7-B9E7-F4D800AD7E4D}" srcOrd="0" destOrd="0" presId="urn:microsoft.com/office/officeart/2005/8/layout/gear1"/>
    <dgm:cxn modelId="{B1E8BD9B-0CBB-4BC3-A460-07C4ECFDDA01}" type="presOf" srcId="{6C9E751C-165E-4C68-A562-1408E5631405}" destId="{6A773348-4D56-4B4F-8D28-F95D356C421A}" srcOrd="2" destOrd="0" presId="urn:microsoft.com/office/officeart/2005/8/layout/gear1"/>
    <dgm:cxn modelId="{A33BDA13-3DD1-4366-9DC5-CAF83C217613}" type="presOf" srcId="{01EDCC8E-781E-4C8F-BFCF-4D95D418B016}" destId="{AC54B38B-36A7-4607-B2E0-E35C2739A70F}" srcOrd="0" destOrd="0" presId="urn:microsoft.com/office/officeart/2005/8/layout/gear1"/>
    <dgm:cxn modelId="{4F59A3EC-C4B2-4CE6-B7C4-D852C9FB57F1}" type="presOf" srcId="{EC013BFE-6920-472E-A239-9CFD8A3A1A38}" destId="{0065D1DD-C0D9-4BE7-BC9D-A00111A1ADDB}" srcOrd="0" destOrd="0" presId="urn:microsoft.com/office/officeart/2005/8/layout/gear1"/>
    <dgm:cxn modelId="{39E3D6D5-5D7C-48A3-937D-E19795CFABB9}" type="presOf" srcId="{C6ACEAE4-5954-4A6F-9B40-8F8ABFB5C2D9}" destId="{3C3CC51C-0B0B-473C-95EF-43063944F3A4}" srcOrd="2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5FD519F1-9554-48B9-8A44-F5D2405A5933}" type="presOf" srcId="{A1A9603E-7CB1-44B6-9CAA-7FD6070CF579}" destId="{33B33E1C-2EE9-4E73-A1A1-2E6CF858C6A2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A168B563-3947-4C17-A08A-6CE24F67D551}" type="presOf" srcId="{C6ACEAE4-5954-4A6F-9B40-8F8ABFB5C2D9}" destId="{9934422A-E572-41A5-BD6D-ECD08FF9C7A0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6227A353-6680-484C-92C8-22EA07A81E71}" type="presOf" srcId="{6C9E751C-165E-4C68-A562-1408E5631405}" destId="{46A7CA56-173B-45D0-97A4-D825BF619A8F}" srcOrd="0" destOrd="0" presId="urn:microsoft.com/office/officeart/2005/8/layout/gear1"/>
    <dgm:cxn modelId="{7A4D16BA-965A-4D18-929C-DCD83F7902D5}" type="presOf" srcId="{6C9E751C-165E-4C68-A562-1408E5631405}" destId="{D0114485-6EE9-40B8-8BCB-C618F76B48AF}" srcOrd="1" destOrd="0" presId="urn:microsoft.com/office/officeart/2005/8/layout/gear1"/>
    <dgm:cxn modelId="{C2A536D9-FCD7-4764-818A-5D5100659274}" type="presOf" srcId="{91B127A4-7687-4B9C-8277-4DA637D89E0B}" destId="{92ED5C20-74B8-424A-B064-F713C26C5FBD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968A7390-F377-485D-BCD8-C3B05F453853}" type="presOf" srcId="{13DF38C5-7E86-4695-8E70-CF8E447134CE}" destId="{0F383247-AC09-4D7A-A99B-3DE51C1D3BDF}" srcOrd="0" destOrd="0" presId="urn:microsoft.com/office/officeart/2005/8/layout/gear1"/>
    <dgm:cxn modelId="{51EC470F-4916-4101-8A53-746714DF2341}" type="presOf" srcId="{872E4495-0CBE-4DF6-83F3-23C8CC321CB5}" destId="{A26DE454-46C0-43C5-85B6-9BA1926B895B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802B4D91-5B03-4568-BAD8-F6A32EAA5348}" type="presOf" srcId="{91B127A4-7687-4B9C-8277-4DA637D89E0B}" destId="{1F3B6C42-D743-440B-9259-9CF3733BA6C3}" srcOrd="1" destOrd="0" presId="urn:microsoft.com/office/officeart/2005/8/layout/gear1"/>
    <dgm:cxn modelId="{39186563-244B-4B61-B35D-571B9EDF48DB}" type="presParOf" srcId="{7A26031B-949F-47B7-B9E7-F4D800AD7E4D}" destId="{9934422A-E572-41A5-BD6D-ECD08FF9C7A0}" srcOrd="0" destOrd="0" presId="urn:microsoft.com/office/officeart/2005/8/layout/gear1"/>
    <dgm:cxn modelId="{1147BE71-947E-400E-94C4-45F597512A5C}" type="presParOf" srcId="{7A26031B-949F-47B7-B9E7-F4D800AD7E4D}" destId="{74D795A2-F652-4F5C-8392-570C335250C5}" srcOrd="1" destOrd="0" presId="urn:microsoft.com/office/officeart/2005/8/layout/gear1"/>
    <dgm:cxn modelId="{B1A7DEBE-070E-428D-A435-3433B8AD5742}" type="presParOf" srcId="{7A26031B-949F-47B7-B9E7-F4D800AD7E4D}" destId="{3C3CC51C-0B0B-473C-95EF-43063944F3A4}" srcOrd="2" destOrd="0" presId="urn:microsoft.com/office/officeart/2005/8/layout/gear1"/>
    <dgm:cxn modelId="{7E8CBDB4-58B1-4822-852D-BAC07D8D14B6}" type="presParOf" srcId="{7A26031B-949F-47B7-B9E7-F4D800AD7E4D}" destId="{A7F32443-9E36-46D1-A4FF-ED1AFE52713A}" srcOrd="3" destOrd="0" presId="urn:microsoft.com/office/officeart/2005/8/layout/gear1"/>
    <dgm:cxn modelId="{699B2237-D4D6-424A-A891-A2FEA44FE182}" type="presParOf" srcId="{7A26031B-949F-47B7-B9E7-F4D800AD7E4D}" destId="{46A7CA56-173B-45D0-97A4-D825BF619A8F}" srcOrd="4" destOrd="0" presId="urn:microsoft.com/office/officeart/2005/8/layout/gear1"/>
    <dgm:cxn modelId="{7DC1EA97-57A4-4256-B31D-C747779E00CC}" type="presParOf" srcId="{7A26031B-949F-47B7-B9E7-F4D800AD7E4D}" destId="{D0114485-6EE9-40B8-8BCB-C618F76B48AF}" srcOrd="5" destOrd="0" presId="urn:microsoft.com/office/officeart/2005/8/layout/gear1"/>
    <dgm:cxn modelId="{05D4E197-3688-4D55-97DB-A40422C4E0FB}" type="presParOf" srcId="{7A26031B-949F-47B7-B9E7-F4D800AD7E4D}" destId="{6A773348-4D56-4B4F-8D28-F95D356C421A}" srcOrd="6" destOrd="0" presId="urn:microsoft.com/office/officeart/2005/8/layout/gear1"/>
    <dgm:cxn modelId="{46330A56-233A-4A70-B9FE-A5CACA584FF5}" type="presParOf" srcId="{7A26031B-949F-47B7-B9E7-F4D800AD7E4D}" destId="{0065D1DD-C0D9-4BE7-BC9D-A00111A1ADDB}" srcOrd="7" destOrd="0" presId="urn:microsoft.com/office/officeart/2005/8/layout/gear1"/>
    <dgm:cxn modelId="{FAB9C733-0EAA-4A8C-B251-B09FD5534885}" type="presParOf" srcId="{7A26031B-949F-47B7-B9E7-F4D800AD7E4D}" destId="{92ED5C20-74B8-424A-B064-F713C26C5FBD}" srcOrd="8" destOrd="0" presId="urn:microsoft.com/office/officeart/2005/8/layout/gear1"/>
    <dgm:cxn modelId="{4067C467-4027-4747-A31B-BF0A1F6CECB5}" type="presParOf" srcId="{7A26031B-949F-47B7-B9E7-F4D800AD7E4D}" destId="{1F3B6C42-D743-440B-9259-9CF3733BA6C3}" srcOrd="9" destOrd="0" presId="urn:microsoft.com/office/officeart/2005/8/layout/gear1"/>
    <dgm:cxn modelId="{D5BCAECD-A9B7-4401-A11C-0FFC78AA1330}" type="presParOf" srcId="{7A26031B-949F-47B7-B9E7-F4D800AD7E4D}" destId="{728E8210-1CF0-4B78-A346-234140FA0AB5}" srcOrd="10" destOrd="0" presId="urn:microsoft.com/office/officeart/2005/8/layout/gear1"/>
    <dgm:cxn modelId="{BCA45916-E168-413B-851C-B7196E0C946F}" type="presParOf" srcId="{7A26031B-949F-47B7-B9E7-F4D800AD7E4D}" destId="{3E1A1A6E-1C82-448A-97CE-BF8BB7CA171C}" srcOrd="11" destOrd="0" presId="urn:microsoft.com/office/officeart/2005/8/layout/gear1"/>
    <dgm:cxn modelId="{B8FA8EBD-5263-4973-A189-CCF49748ABB4}" type="presParOf" srcId="{7A26031B-949F-47B7-B9E7-F4D800AD7E4D}" destId="{0F383247-AC09-4D7A-A99B-3DE51C1D3BDF}" srcOrd="12" destOrd="0" presId="urn:microsoft.com/office/officeart/2005/8/layout/gear1"/>
    <dgm:cxn modelId="{A67E32C7-55CA-4BA4-859B-9B1FA9B2F3D8}" type="presParOf" srcId="{7A26031B-949F-47B7-B9E7-F4D800AD7E4D}" destId="{AC54B38B-36A7-4607-B2E0-E35C2739A70F}" srcOrd="13" destOrd="0" presId="urn:microsoft.com/office/officeart/2005/8/layout/gear1"/>
    <dgm:cxn modelId="{AF9EEE70-E4BB-4A75-8C24-CFE10DB81F11}" type="presParOf" srcId="{7A26031B-949F-47B7-B9E7-F4D800AD7E4D}" destId="{A26DE454-46C0-43C5-85B6-9BA1926B895B}" srcOrd="14" destOrd="0" presId="urn:microsoft.com/office/officeart/2005/8/layout/gear1"/>
    <dgm:cxn modelId="{FF0D962E-8E8B-4365-9B3A-0A9C72BDC8F6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1398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205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31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2E1A-A223-4552-9533-C61C59A7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КУТЄВА ГАЛИНА АНАТОЛІЇВНА</cp:lastModifiedBy>
  <cp:revision>6</cp:revision>
  <cp:lastPrinted>2023-09-04T12:45:00Z</cp:lastPrinted>
  <dcterms:created xsi:type="dcterms:W3CDTF">2023-10-04T07:43:00Z</dcterms:created>
  <dcterms:modified xsi:type="dcterms:W3CDTF">2023-10-04T09:07:00Z</dcterms:modified>
</cp:coreProperties>
</file>