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</w:t>
                            </w:r>
                            <w:r w:rsidR="00CE4CD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5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0</w:t>
                      </w:r>
                      <w:r w:rsidR="00CE4CD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5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CE4CD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квітень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CE4CD2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647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CE4CD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CE4CD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квітень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CE4CD2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647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CE4CD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  <w:bookmarkStart w:id="0" w:name="_GoBack"/>
      <w:bookmarkEnd w:id="0"/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CE4CD2">
        <w:rPr>
          <w:rFonts w:ascii="Times New Roman" w:hAnsi="Times New Roman"/>
          <w:sz w:val="26"/>
          <w:szCs w:val="26"/>
        </w:rPr>
        <w:t>277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AE1F37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CE4CD2">
        <w:rPr>
          <w:rFonts w:ascii="Times New Roman" w:hAnsi="Times New Roman"/>
          <w:sz w:val="26"/>
          <w:szCs w:val="26"/>
        </w:rPr>
        <w:t>356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033F20" w:rsidRPr="004A5D32">
        <w:rPr>
          <w:rFonts w:ascii="Times New Roman" w:hAnsi="Times New Roman"/>
          <w:sz w:val="26"/>
          <w:szCs w:val="26"/>
        </w:rPr>
        <w:t>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8522A2">
        <w:rPr>
          <w:rFonts w:ascii="Times New Roman" w:hAnsi="Times New Roman"/>
          <w:sz w:val="26"/>
          <w:szCs w:val="26"/>
        </w:rPr>
        <w:t>1</w:t>
      </w:r>
      <w:r w:rsidR="00CE4CD2">
        <w:rPr>
          <w:rFonts w:ascii="Times New Roman" w:hAnsi="Times New Roman"/>
          <w:sz w:val="26"/>
          <w:szCs w:val="26"/>
        </w:rPr>
        <w:t>2</w:t>
      </w:r>
    </w:p>
    <w:p w:rsidR="005533DC" w:rsidRPr="00284C97" w:rsidRDefault="00CE4CD2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505F86D" wp14:editId="7CF7B428">
            <wp:extent cx="5010151" cy="1408235"/>
            <wp:effectExtent l="0" t="0" r="19050" b="20955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-91440</wp:posOffset>
                </wp:positionH>
                <wp:positionV relativeFrom="paragraph">
                  <wp:posOffset>1913255</wp:posOffset>
                </wp:positionV>
                <wp:extent cx="6572250" cy="532764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327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="00CE4CD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CE4CD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9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50.65pt;width:517.5pt;height:41.9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="00CE4CD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CE4CD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9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З </w:t>
      </w:r>
      <w:r w:rsidR="00CE4CD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647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5B74A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CE4CD2">
        <w:rPr>
          <w:noProof/>
          <w:lang w:eastAsia="uk-UA"/>
        </w:rPr>
        <w:drawing>
          <wp:inline distT="0" distB="0" distL="0" distR="0" wp14:anchorId="7478C63F" wp14:editId="1C5DF9EF">
            <wp:extent cx="6610350" cy="1800225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5C3C" w:rsidRDefault="00CE4CD2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1A2D405F" wp14:editId="2C7B8935">
            <wp:extent cx="6524625" cy="1809750"/>
            <wp:effectExtent l="0" t="0" r="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 w:rsidR="00CE4CD2">
        <w:rPr>
          <w:rFonts w:ascii="Times New Roman" w:hAnsi="Times New Roman"/>
          <w:b/>
          <w:sz w:val="26"/>
          <w:szCs w:val="26"/>
          <w:lang w:val="ru-RU"/>
        </w:rPr>
        <w:t>6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7A5697" w:rsidRPr="00936B1B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6102"/>
    <w:rsid w:val="001C4EDA"/>
    <w:rsid w:val="001C51CC"/>
    <w:rsid w:val="001C6E80"/>
    <w:rsid w:val="001E6979"/>
    <w:rsid w:val="001F475A"/>
    <w:rsid w:val="001F5D29"/>
    <w:rsid w:val="0020266D"/>
    <w:rsid w:val="00202EED"/>
    <w:rsid w:val="002061AB"/>
    <w:rsid w:val="0021414A"/>
    <w:rsid w:val="0021527A"/>
    <w:rsid w:val="00217886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662D"/>
    <w:rsid w:val="0036774A"/>
    <w:rsid w:val="00367A4C"/>
    <w:rsid w:val="0037098A"/>
    <w:rsid w:val="003948FF"/>
    <w:rsid w:val="003F4ADB"/>
    <w:rsid w:val="003F50BD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2864"/>
    <w:rsid w:val="00701DA7"/>
    <w:rsid w:val="00722913"/>
    <w:rsid w:val="00727F14"/>
    <w:rsid w:val="007303D8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36B1B"/>
    <w:rsid w:val="0094609F"/>
    <w:rsid w:val="00952BD5"/>
    <w:rsid w:val="009609A5"/>
    <w:rsid w:val="00965548"/>
    <w:rsid w:val="00971E80"/>
    <w:rsid w:val="00974A58"/>
    <w:rsid w:val="009913F5"/>
    <w:rsid w:val="009A2691"/>
    <w:rsid w:val="009A6C20"/>
    <w:rsid w:val="009B3390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E00189"/>
    <w:rsid w:val="00E21166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F16D89"/>
    <w:rsid w:val="00F34B5B"/>
    <w:rsid w:val="00F56E23"/>
    <w:rsid w:val="00F70133"/>
    <w:rsid w:val="00F71217"/>
    <w:rsid w:val="00F7452F"/>
    <w:rsid w:val="00F82335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5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5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5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0.42809999999999998</c:v>
                </c:pt>
                <c:pt idx="1">
                  <c:v>0.55020000000000002</c:v>
                </c:pt>
                <c:pt idx="2">
                  <c:v>3.0999999999999999E-3</c:v>
                </c:pt>
                <c:pt idx="3">
                  <c:v>1.8499999999999999E-2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42,8%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358</c:v>
                </c:pt>
                <c:pt idx="1">
                  <c:v>133</c:v>
                </c:pt>
                <c:pt idx="2">
                  <c:v>15</c:v>
                </c:pt>
                <c:pt idx="3">
                  <c:v>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83669504"/>
        <c:axId val="58813248"/>
      </c:barChart>
      <c:catAx>
        <c:axId val="8366950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58813248"/>
        <c:crosses val="autoZero"/>
        <c:auto val="1"/>
        <c:lblAlgn val="l"/>
        <c:lblOffset val="100"/>
        <c:noMultiLvlLbl val="0"/>
      </c:catAx>
      <c:valAx>
        <c:axId val="5881324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36695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83.93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1369816243498933E-17"/>
                  <c:y val="-6.3157894736842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5.87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273963248699787E-16"/>
                  <c:y val="-6.3157894736842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10.199999999999999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4483328"/>
        <c:axId val="43732928"/>
        <c:axId val="0"/>
      </c:bar3DChart>
      <c:catAx>
        <c:axId val="64483328"/>
        <c:scaling>
          <c:orientation val="minMax"/>
        </c:scaling>
        <c:delete val="1"/>
        <c:axPos val="b"/>
        <c:majorTickMark val="none"/>
        <c:minorTickMark val="none"/>
        <c:tickLblPos val="nextTo"/>
        <c:crossAx val="43732928"/>
        <c:crosses val="autoZero"/>
        <c:auto val="1"/>
        <c:lblAlgn val="ctr"/>
        <c:lblOffset val="100"/>
        <c:noMultiLvlLbl val="0"/>
      </c:catAx>
      <c:valAx>
        <c:axId val="4373292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64483328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461842459399904"/>
          <c:h val="0.5932709720889297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569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64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14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A1A3111A-C104-44FB-A834-D9CC5201B2D3}" type="presOf" srcId="{91B127A4-7687-4B9C-8277-4DA637D89E0B}" destId="{1F3B6C42-D743-440B-9259-9CF3733BA6C3}" srcOrd="1" destOrd="0" presId="urn:microsoft.com/office/officeart/2005/8/layout/gear1"/>
    <dgm:cxn modelId="{C2372143-C72C-4BEA-856E-BD0F8E48B659}" type="presOf" srcId="{C6ACEAE4-5954-4A6F-9B40-8F8ABFB5C2D9}" destId="{74D795A2-F652-4F5C-8392-570C335250C5}" srcOrd="1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C5C9D228-444C-49BE-91D6-184725CD93CA}" type="presOf" srcId="{91B127A4-7687-4B9C-8277-4DA637D89E0B}" destId="{728E8210-1CF0-4B78-A346-234140FA0AB5}" srcOrd="2" destOrd="0" presId="urn:microsoft.com/office/officeart/2005/8/layout/gear1"/>
    <dgm:cxn modelId="{523FD747-DD3D-40BF-80A1-C46BAF173EF2}" type="presOf" srcId="{DEB00B42-ACB3-43E1-B041-A697C63D0CD2}" destId="{A7F32443-9E36-46D1-A4FF-ED1AFE52713A}" srcOrd="0" destOrd="0" presId="urn:microsoft.com/office/officeart/2005/8/layout/gear1"/>
    <dgm:cxn modelId="{0BF37837-510E-432B-A86C-E4507FFA814C}" type="presOf" srcId="{13DF38C5-7E86-4695-8E70-CF8E447134CE}" destId="{0F383247-AC09-4D7A-A99B-3DE51C1D3BDF}" srcOrd="0" destOrd="0" presId="urn:microsoft.com/office/officeart/2005/8/layout/gear1"/>
    <dgm:cxn modelId="{114C392E-5B97-42A1-9555-8E9919AC13A5}" type="presOf" srcId="{6C9E751C-165E-4C68-A562-1408E5631405}" destId="{46A7CA56-173B-45D0-97A4-D825BF619A8F}" srcOrd="0" destOrd="0" presId="urn:microsoft.com/office/officeart/2005/8/layout/gear1"/>
    <dgm:cxn modelId="{EA6FBC3A-4F8C-4A89-81A0-09ECA0ED9230}" type="presOf" srcId="{C6ACEAE4-5954-4A6F-9B40-8F8ABFB5C2D9}" destId="{3C3CC51C-0B0B-473C-95EF-43063944F3A4}" srcOrd="2" destOrd="0" presId="urn:microsoft.com/office/officeart/2005/8/layout/gear1"/>
    <dgm:cxn modelId="{95343423-33FC-4A81-A117-3AC70E3E13AD}" type="presOf" srcId="{EC013BFE-6920-472E-A239-9CFD8A3A1A38}" destId="{0065D1DD-C0D9-4BE7-BC9D-A00111A1ADDB}" srcOrd="0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AA7E92E2-EDD4-49B6-B95F-DC7CA02ED08E}" type="presOf" srcId="{06CB3C54-0157-42E1-A347-803D2D666C17}" destId="{7A26031B-949F-47B7-B9E7-F4D800AD7E4D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327B96C1-A725-45E5-B711-FDD0105C93D5}" type="presOf" srcId="{872E4495-0CBE-4DF6-83F3-23C8CC321CB5}" destId="{A26DE454-46C0-43C5-85B6-9BA1926B895B}" srcOrd="0" destOrd="0" presId="urn:microsoft.com/office/officeart/2005/8/layout/gear1"/>
    <dgm:cxn modelId="{51DE8765-4641-4959-9256-92BB4B589AF6}" type="presOf" srcId="{01EDCC8E-781E-4C8F-BFCF-4D95D418B016}" destId="{AC54B38B-36A7-4607-B2E0-E35C2739A70F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871A6F6F-FC65-4E65-9C3B-72333CDC0EA5}" type="presOf" srcId="{91B127A4-7687-4B9C-8277-4DA637D89E0B}" destId="{3E1A1A6E-1C82-448A-97CE-BF8BB7CA171C}" srcOrd="3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7688B772-CA93-41EC-A7AC-C5777E63862F}" type="presOf" srcId="{C6ACEAE4-5954-4A6F-9B40-8F8ABFB5C2D9}" destId="{9934422A-E572-41A5-BD6D-ECD08FF9C7A0}" srcOrd="0" destOrd="0" presId="urn:microsoft.com/office/officeart/2005/8/layout/gear1"/>
    <dgm:cxn modelId="{AA49B5B0-90B2-4CE3-8D0F-4DCF3200F440}" type="presOf" srcId="{A1A9603E-7CB1-44B6-9CAA-7FD6070CF579}" destId="{33B33E1C-2EE9-4E73-A1A1-2E6CF858C6A2}" srcOrd="0" destOrd="0" presId="urn:microsoft.com/office/officeart/2005/8/layout/gear1"/>
    <dgm:cxn modelId="{BFA72CAA-DE52-4955-B098-F6D7C25AAEAF}" type="presOf" srcId="{91B127A4-7687-4B9C-8277-4DA637D89E0B}" destId="{92ED5C20-74B8-424A-B064-F713C26C5FBD}" srcOrd="0" destOrd="0" presId="urn:microsoft.com/office/officeart/2005/8/layout/gear1"/>
    <dgm:cxn modelId="{7C975A5C-4778-4C98-91C2-94001B380AE0}" type="presOf" srcId="{6C9E751C-165E-4C68-A562-1408E5631405}" destId="{D0114485-6EE9-40B8-8BCB-C618F76B48AF}" srcOrd="1" destOrd="0" presId="urn:microsoft.com/office/officeart/2005/8/layout/gear1"/>
    <dgm:cxn modelId="{E59B2ADA-916B-4333-9694-03B235644AB7}" type="presOf" srcId="{6C9E751C-165E-4C68-A562-1408E5631405}" destId="{6A773348-4D56-4B4F-8D28-F95D356C421A}" srcOrd="2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96590300-2AD5-4D5F-AE3A-CE3FD0C0F49A}" type="presParOf" srcId="{7A26031B-949F-47B7-B9E7-F4D800AD7E4D}" destId="{9934422A-E572-41A5-BD6D-ECD08FF9C7A0}" srcOrd="0" destOrd="0" presId="urn:microsoft.com/office/officeart/2005/8/layout/gear1"/>
    <dgm:cxn modelId="{CBC7F68A-DC2A-43B4-A15A-CBEA698AD3F6}" type="presParOf" srcId="{7A26031B-949F-47B7-B9E7-F4D800AD7E4D}" destId="{74D795A2-F652-4F5C-8392-570C335250C5}" srcOrd="1" destOrd="0" presId="urn:microsoft.com/office/officeart/2005/8/layout/gear1"/>
    <dgm:cxn modelId="{2F0183AE-4419-40B7-A011-756023673064}" type="presParOf" srcId="{7A26031B-949F-47B7-B9E7-F4D800AD7E4D}" destId="{3C3CC51C-0B0B-473C-95EF-43063944F3A4}" srcOrd="2" destOrd="0" presId="urn:microsoft.com/office/officeart/2005/8/layout/gear1"/>
    <dgm:cxn modelId="{1BCC2ECA-E5D9-46BC-AB82-6C17BBEC91C4}" type="presParOf" srcId="{7A26031B-949F-47B7-B9E7-F4D800AD7E4D}" destId="{A7F32443-9E36-46D1-A4FF-ED1AFE52713A}" srcOrd="3" destOrd="0" presId="urn:microsoft.com/office/officeart/2005/8/layout/gear1"/>
    <dgm:cxn modelId="{9CE853FB-5569-4BDF-87E0-3914BDED4162}" type="presParOf" srcId="{7A26031B-949F-47B7-B9E7-F4D800AD7E4D}" destId="{46A7CA56-173B-45D0-97A4-D825BF619A8F}" srcOrd="4" destOrd="0" presId="urn:microsoft.com/office/officeart/2005/8/layout/gear1"/>
    <dgm:cxn modelId="{5383FA77-69F1-494D-BFC2-9CF1A00F522E}" type="presParOf" srcId="{7A26031B-949F-47B7-B9E7-F4D800AD7E4D}" destId="{D0114485-6EE9-40B8-8BCB-C618F76B48AF}" srcOrd="5" destOrd="0" presId="urn:microsoft.com/office/officeart/2005/8/layout/gear1"/>
    <dgm:cxn modelId="{31AB2888-7F44-491B-9D46-45B8B4A36054}" type="presParOf" srcId="{7A26031B-949F-47B7-B9E7-F4D800AD7E4D}" destId="{6A773348-4D56-4B4F-8D28-F95D356C421A}" srcOrd="6" destOrd="0" presId="urn:microsoft.com/office/officeart/2005/8/layout/gear1"/>
    <dgm:cxn modelId="{B1BB960E-80AB-4AE6-BCC2-3F30CAEE713F}" type="presParOf" srcId="{7A26031B-949F-47B7-B9E7-F4D800AD7E4D}" destId="{0065D1DD-C0D9-4BE7-BC9D-A00111A1ADDB}" srcOrd="7" destOrd="0" presId="urn:microsoft.com/office/officeart/2005/8/layout/gear1"/>
    <dgm:cxn modelId="{734608C2-A80D-426C-950A-A1FEBE82F5F6}" type="presParOf" srcId="{7A26031B-949F-47B7-B9E7-F4D800AD7E4D}" destId="{92ED5C20-74B8-424A-B064-F713C26C5FBD}" srcOrd="8" destOrd="0" presId="urn:microsoft.com/office/officeart/2005/8/layout/gear1"/>
    <dgm:cxn modelId="{DF824837-7C06-44B3-800E-11A3211B41FF}" type="presParOf" srcId="{7A26031B-949F-47B7-B9E7-F4D800AD7E4D}" destId="{1F3B6C42-D743-440B-9259-9CF3733BA6C3}" srcOrd="9" destOrd="0" presId="urn:microsoft.com/office/officeart/2005/8/layout/gear1"/>
    <dgm:cxn modelId="{ACE3D769-0023-4AC9-AA45-17DBF54E43B7}" type="presParOf" srcId="{7A26031B-949F-47B7-B9E7-F4D800AD7E4D}" destId="{728E8210-1CF0-4B78-A346-234140FA0AB5}" srcOrd="10" destOrd="0" presId="urn:microsoft.com/office/officeart/2005/8/layout/gear1"/>
    <dgm:cxn modelId="{298A2852-E994-46CA-AF7D-980A03969705}" type="presParOf" srcId="{7A26031B-949F-47B7-B9E7-F4D800AD7E4D}" destId="{3E1A1A6E-1C82-448A-97CE-BF8BB7CA171C}" srcOrd="11" destOrd="0" presId="urn:microsoft.com/office/officeart/2005/8/layout/gear1"/>
    <dgm:cxn modelId="{9D5BF5F9-BFDF-4CDA-88F8-B4D17980A0E0}" type="presParOf" srcId="{7A26031B-949F-47B7-B9E7-F4D800AD7E4D}" destId="{0F383247-AC09-4D7A-A99B-3DE51C1D3BDF}" srcOrd="12" destOrd="0" presId="urn:microsoft.com/office/officeart/2005/8/layout/gear1"/>
    <dgm:cxn modelId="{4933E4D7-B501-4F75-9C80-3E9CBC8B5930}" type="presParOf" srcId="{7A26031B-949F-47B7-B9E7-F4D800AD7E4D}" destId="{AC54B38B-36A7-4607-B2E0-E35C2739A70F}" srcOrd="13" destOrd="0" presId="urn:microsoft.com/office/officeart/2005/8/layout/gear1"/>
    <dgm:cxn modelId="{A86F6EC1-BCB1-42C2-956A-A033DA3543D7}" type="presParOf" srcId="{7A26031B-949F-47B7-B9E7-F4D800AD7E4D}" destId="{A26DE454-46C0-43C5-85B6-9BA1926B895B}" srcOrd="14" destOrd="0" presId="urn:microsoft.com/office/officeart/2005/8/layout/gear1"/>
    <dgm:cxn modelId="{98896B18-C431-4158-831D-6FE7E1E8B51F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569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64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14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5506-D92A-42E1-BC40-02057CB2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4</cp:revision>
  <cp:lastPrinted>2023-05-04T11:12:00Z</cp:lastPrinted>
  <dcterms:created xsi:type="dcterms:W3CDTF">2023-05-04T07:40:00Z</dcterms:created>
  <dcterms:modified xsi:type="dcterms:W3CDTF">2023-05-04T14:12:00Z</dcterms:modified>
</cp:coreProperties>
</file>