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B875C6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8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 період з 01.01.2021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.0</w:t>
      </w:r>
      <w:r w:rsidR="00B875C6">
        <w:rPr>
          <w:rFonts w:ascii="Times New Roman" w:hAnsi="Times New Roman"/>
          <w:bCs/>
          <w:color w:val="000000"/>
          <w:sz w:val="28"/>
          <w:szCs w:val="28"/>
          <w:lang w:eastAsia="uk-UA"/>
        </w:rPr>
        <w:t>7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.2021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</w:t>
      </w:r>
      <w:r w:rsidR="00610A27" w:rsidRPr="00933615">
        <w:rPr>
          <w:rFonts w:ascii="Times New Roman" w:hAnsi="Times New Roman"/>
          <w:b/>
          <w:bCs/>
          <w:sz w:val="28"/>
          <w:szCs w:val="28"/>
        </w:rPr>
        <w:t>1</w:t>
      </w:r>
      <w:r w:rsidR="00B875C6">
        <w:rPr>
          <w:rFonts w:ascii="Times New Roman" w:hAnsi="Times New Roman"/>
          <w:b/>
          <w:bCs/>
          <w:sz w:val="28"/>
          <w:szCs w:val="28"/>
        </w:rPr>
        <w:t>411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201EC" w:rsidRPr="00C5158E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B875C6" w:rsidRPr="00C5158E">
        <w:rPr>
          <w:rFonts w:ascii="Times New Roman" w:hAnsi="Times New Roman"/>
          <w:color w:val="000000"/>
          <w:sz w:val="26"/>
          <w:szCs w:val="26"/>
          <w:lang w:eastAsia="uk-UA"/>
        </w:rPr>
        <w:t>485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запитів;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B875C6" w:rsidRPr="00C5158E">
        <w:rPr>
          <w:rFonts w:ascii="Times New Roman" w:hAnsi="Times New Roman"/>
          <w:color w:val="000000"/>
          <w:sz w:val="26"/>
          <w:szCs w:val="26"/>
          <w:lang w:eastAsia="uk-UA"/>
        </w:rPr>
        <w:t>835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Pr="00C5158E">
        <w:rPr>
          <w:rFonts w:ascii="Times New Roman" w:hAnsi="Times New Roman"/>
          <w:color w:val="000000"/>
          <w:sz w:val="26"/>
          <w:szCs w:val="26"/>
          <w:lang w:val="ru-RU" w:eastAsia="uk-UA"/>
        </w:rPr>
        <w:t>1</w:t>
      </w:r>
      <w:r w:rsidR="00B875C6" w:rsidRPr="00C5158E">
        <w:rPr>
          <w:rFonts w:ascii="Times New Roman" w:hAnsi="Times New Roman"/>
          <w:color w:val="000000"/>
          <w:sz w:val="26"/>
          <w:szCs w:val="26"/>
          <w:lang w:val="ru-RU" w:eastAsia="uk-UA"/>
        </w:rPr>
        <w:t>8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B875C6" w:rsidRPr="00C5158E">
        <w:rPr>
          <w:rFonts w:ascii="Times New Roman" w:hAnsi="Times New Roman"/>
          <w:color w:val="000000"/>
          <w:sz w:val="26"/>
          <w:szCs w:val="26"/>
          <w:lang w:eastAsia="uk-UA"/>
        </w:rPr>
        <w:t>73</w:t>
      </w:r>
    </w:p>
    <w:p w:rsidR="005533DC" w:rsidRPr="00284C97" w:rsidRDefault="0058581D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301105" cy="1538605"/>
            <wp:effectExtent l="0" t="0" r="4445" b="4445"/>
            <wp:docPr id="1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3345" w:rsidRDefault="00B52914" w:rsidP="00463345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610A27" w:rsidRPr="00C5158E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1</w:t>
      </w:r>
      <w:r w:rsidR="00B875C6" w:rsidRPr="00C5158E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411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58581D">
        <w:rPr>
          <w:noProof/>
          <w:lang w:eastAsia="uk-UA"/>
        </w:rPr>
        <w:drawing>
          <wp:inline distT="0" distB="0" distL="0" distR="0">
            <wp:extent cx="6233795" cy="178943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463345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B875C6" w:rsidRPr="00C5158E">
        <w:rPr>
          <w:rFonts w:ascii="Times New Roman" w:hAnsi="Times New Roman"/>
          <w:b/>
          <w:sz w:val="26"/>
          <w:szCs w:val="26"/>
          <w:lang w:val="ru-RU"/>
        </w:rPr>
        <w:t>110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463345" w:rsidRPr="00C5158E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83EAD"/>
    <w:rsid w:val="00284C97"/>
    <w:rsid w:val="00286B6D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573B6"/>
    <w:rsid w:val="00463345"/>
    <w:rsid w:val="00484BB7"/>
    <w:rsid w:val="00485216"/>
    <w:rsid w:val="0049067F"/>
    <w:rsid w:val="004C2405"/>
    <w:rsid w:val="004D201C"/>
    <w:rsid w:val="004E7F14"/>
    <w:rsid w:val="004F11D0"/>
    <w:rsid w:val="00507718"/>
    <w:rsid w:val="00507D14"/>
    <w:rsid w:val="005201EC"/>
    <w:rsid w:val="00540A7B"/>
    <w:rsid w:val="00552DB5"/>
    <w:rsid w:val="005533DC"/>
    <w:rsid w:val="00566CD4"/>
    <w:rsid w:val="0058581D"/>
    <w:rsid w:val="005940F5"/>
    <w:rsid w:val="005A40D5"/>
    <w:rsid w:val="005A608C"/>
    <w:rsid w:val="005C0A52"/>
    <w:rsid w:val="005C71C7"/>
    <w:rsid w:val="005D7236"/>
    <w:rsid w:val="005E13C3"/>
    <w:rsid w:val="005F3E64"/>
    <w:rsid w:val="00600E31"/>
    <w:rsid w:val="00610A27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E09A3"/>
    <w:rsid w:val="009E1107"/>
    <w:rsid w:val="009E69AF"/>
    <w:rsid w:val="00A060FC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06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priannikova132026\AppData\Local\Microsoft\Windows\Temporary%20Internet%20Files\Content.Outlook\0TTCHZIO\&#1047;&#1074;&#1080;&#1090;%20&#1047;&#1055;&#1048;_&#1044;&#1055;&#1057;_010821%20(2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4269911311110142"/>
          <c:h val="0.8686126905227680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0.33139999999999997</c:v>
                </c:pt>
                <c:pt idx="1">
                  <c:v>0.59530000000000005</c:v>
                </c:pt>
                <c:pt idx="2">
                  <c:v>1.47E-2</c:v>
                </c:pt>
                <c:pt idx="3">
                  <c:v>5.8700000000000002E-2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33,1%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2950404504521675"/>
          <c:y val="6.9613772560543019E-2"/>
          <c:w val="0.47049595495478314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'[Звит ЗПИ_ДПС_010821 (2).xlsx]Лист2'!$A$8:$A$10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'[Звит ЗПИ_ДПС_010821 (2).xlsx]Лист2'!$B$8:$B$10</c:f>
              <c:numCache>
                <c:formatCode>General</c:formatCode>
                <c:ptCount val="3"/>
                <c:pt idx="0">
                  <c:v>927</c:v>
                </c:pt>
                <c:pt idx="1">
                  <c:v>197</c:v>
                </c:pt>
                <c:pt idx="2">
                  <c:v>287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361428480"/>
        <c:axId val="148411456"/>
      </c:barChart>
      <c:catAx>
        <c:axId val="36142848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8411456"/>
        <c:crosses val="autoZero"/>
        <c:auto val="1"/>
        <c:lblAlgn val="ctr"/>
        <c:lblOffset val="100"/>
        <c:noMultiLvlLbl val="0"/>
      </c:catAx>
      <c:valAx>
        <c:axId val="1484114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614284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1227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160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2770E19A-BBCF-4C2F-881E-2E1B7F49633A}" type="presOf" srcId="{DEB00B42-ACB3-43E1-B041-A697C63D0CD2}" destId="{A7F32443-9E36-46D1-A4FF-ED1AFE52713A}" srcOrd="0" destOrd="0" presId="urn:microsoft.com/office/officeart/2005/8/layout/gear1"/>
    <dgm:cxn modelId="{019DA910-0B80-4BBC-BE01-D048554A9302}" type="presOf" srcId="{C6ACEAE4-5954-4A6F-9B40-8F8ABFB5C2D9}" destId="{74D795A2-F652-4F5C-8392-570C335250C5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FBB7AC56-10E0-47E5-A6D1-599511F89E63}" type="presOf" srcId="{C6ACEAE4-5954-4A6F-9B40-8F8ABFB5C2D9}" destId="{9934422A-E572-41A5-BD6D-ECD08FF9C7A0}" srcOrd="0" destOrd="0" presId="urn:microsoft.com/office/officeart/2005/8/layout/gear1"/>
    <dgm:cxn modelId="{01AF976C-FD61-45CD-B02C-B6AF8F0C801F}" type="presOf" srcId="{01EDCC8E-781E-4C8F-BFCF-4D95D418B016}" destId="{AC54B38B-36A7-4607-B2E0-E35C2739A70F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708E8B76-40D6-469B-B057-64DBB6BF126D}" type="presOf" srcId="{91B127A4-7687-4B9C-8277-4DA637D89E0B}" destId="{3E1A1A6E-1C82-448A-97CE-BF8BB7CA171C}" srcOrd="3" destOrd="0" presId="urn:microsoft.com/office/officeart/2005/8/layout/gear1"/>
    <dgm:cxn modelId="{C14EB0C8-A5CC-4B2E-910B-EAA53C7AFFBC}" type="presOf" srcId="{6C9E751C-165E-4C68-A562-1408E5631405}" destId="{6A773348-4D56-4B4F-8D28-F95D356C421A}" srcOrd="2" destOrd="0" presId="urn:microsoft.com/office/officeart/2005/8/layout/gear1"/>
    <dgm:cxn modelId="{CC786CA7-9EC8-4F7A-8C68-CCB1534DC599}" type="presOf" srcId="{EC013BFE-6920-472E-A239-9CFD8A3A1A38}" destId="{0065D1DD-C0D9-4BE7-BC9D-A00111A1ADDB}" srcOrd="0" destOrd="0" presId="urn:microsoft.com/office/officeart/2005/8/layout/gear1"/>
    <dgm:cxn modelId="{02CDFA80-2C9D-4C63-80BF-649D059BC77F}" type="presOf" srcId="{13DF38C5-7E86-4695-8E70-CF8E447134CE}" destId="{0F383247-AC09-4D7A-A99B-3DE51C1D3BDF}" srcOrd="0" destOrd="0" presId="urn:microsoft.com/office/officeart/2005/8/layout/gear1"/>
    <dgm:cxn modelId="{030F624E-AA11-4F7D-AC10-D15358075544}" type="presOf" srcId="{91B127A4-7687-4B9C-8277-4DA637D89E0B}" destId="{728E8210-1CF0-4B78-A346-234140FA0AB5}" srcOrd="2" destOrd="0" presId="urn:microsoft.com/office/officeart/2005/8/layout/gear1"/>
    <dgm:cxn modelId="{0007DA58-8034-43E6-9358-1CECA392D45C}" type="presOf" srcId="{6C9E751C-165E-4C68-A562-1408E5631405}" destId="{46A7CA56-173B-45D0-97A4-D825BF619A8F}" srcOrd="0" destOrd="0" presId="urn:microsoft.com/office/officeart/2005/8/layout/gear1"/>
    <dgm:cxn modelId="{E3CBCA0F-44B0-4F2D-98C7-0DD604AB5FC9}" type="presOf" srcId="{6C9E751C-165E-4C68-A562-1408E5631405}" destId="{D0114485-6EE9-40B8-8BCB-C618F76B48AF}" srcOrd="1" destOrd="0" presId="urn:microsoft.com/office/officeart/2005/8/layout/gear1"/>
    <dgm:cxn modelId="{B22F2463-4D25-4EA6-BDA6-BC225B38D0AD}" type="presOf" srcId="{91B127A4-7687-4B9C-8277-4DA637D89E0B}" destId="{1F3B6C42-D743-440B-9259-9CF3733BA6C3}" srcOrd="1" destOrd="0" presId="urn:microsoft.com/office/officeart/2005/8/layout/gear1"/>
    <dgm:cxn modelId="{BFB6820A-8A92-41EE-8E48-2E443A771FD7}" type="presOf" srcId="{91B127A4-7687-4B9C-8277-4DA637D89E0B}" destId="{92ED5C20-74B8-424A-B064-F713C26C5FBD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6CFE8903-C886-4ECE-8D4A-6D2B27A51B6A}" type="presOf" srcId="{06CB3C54-0157-42E1-A347-803D2D666C17}" destId="{7A26031B-949F-47B7-B9E7-F4D800AD7E4D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2DD1CA92-1DEA-46F5-96D4-D6BDC5C03689}" type="presOf" srcId="{A1A9603E-7CB1-44B6-9CAA-7FD6070CF579}" destId="{33B33E1C-2EE9-4E73-A1A1-2E6CF858C6A2}" srcOrd="0" destOrd="0" presId="urn:microsoft.com/office/officeart/2005/8/layout/gear1"/>
    <dgm:cxn modelId="{99C9DF20-5D66-477E-9C68-F5F24AB0C4C8}" type="presOf" srcId="{872E4495-0CBE-4DF6-83F3-23C8CC321CB5}" destId="{A26DE454-46C0-43C5-85B6-9BA1926B895B}" srcOrd="0" destOrd="0" presId="urn:microsoft.com/office/officeart/2005/8/layout/gear1"/>
    <dgm:cxn modelId="{F30B882E-0380-4DB3-9FFF-4136DF96410E}" type="presOf" srcId="{C6ACEAE4-5954-4A6F-9B40-8F8ABFB5C2D9}" destId="{3C3CC51C-0B0B-473C-95EF-43063944F3A4}" srcOrd="2" destOrd="0" presId="urn:microsoft.com/office/officeart/2005/8/layout/gear1"/>
    <dgm:cxn modelId="{18F4B19B-A692-4FAA-8E31-B4FE7844F9D2}" type="presParOf" srcId="{7A26031B-949F-47B7-B9E7-F4D800AD7E4D}" destId="{9934422A-E572-41A5-BD6D-ECD08FF9C7A0}" srcOrd="0" destOrd="0" presId="urn:microsoft.com/office/officeart/2005/8/layout/gear1"/>
    <dgm:cxn modelId="{6BC525A9-9271-40F7-9129-3444325E76C8}" type="presParOf" srcId="{7A26031B-949F-47B7-B9E7-F4D800AD7E4D}" destId="{74D795A2-F652-4F5C-8392-570C335250C5}" srcOrd="1" destOrd="0" presId="urn:microsoft.com/office/officeart/2005/8/layout/gear1"/>
    <dgm:cxn modelId="{FF3F0036-4E1C-4220-8BC4-B0D0C796751C}" type="presParOf" srcId="{7A26031B-949F-47B7-B9E7-F4D800AD7E4D}" destId="{3C3CC51C-0B0B-473C-95EF-43063944F3A4}" srcOrd="2" destOrd="0" presId="urn:microsoft.com/office/officeart/2005/8/layout/gear1"/>
    <dgm:cxn modelId="{D3012DF6-1EFD-4179-A80E-E50020318A31}" type="presParOf" srcId="{7A26031B-949F-47B7-B9E7-F4D800AD7E4D}" destId="{A7F32443-9E36-46D1-A4FF-ED1AFE52713A}" srcOrd="3" destOrd="0" presId="urn:microsoft.com/office/officeart/2005/8/layout/gear1"/>
    <dgm:cxn modelId="{FBD12FB4-AE5B-4F19-95B5-1CF210A2C0A5}" type="presParOf" srcId="{7A26031B-949F-47B7-B9E7-F4D800AD7E4D}" destId="{46A7CA56-173B-45D0-97A4-D825BF619A8F}" srcOrd="4" destOrd="0" presId="urn:microsoft.com/office/officeart/2005/8/layout/gear1"/>
    <dgm:cxn modelId="{CE0F91C1-1BE3-429A-B27C-C6375A160C6C}" type="presParOf" srcId="{7A26031B-949F-47B7-B9E7-F4D800AD7E4D}" destId="{D0114485-6EE9-40B8-8BCB-C618F76B48AF}" srcOrd="5" destOrd="0" presId="urn:microsoft.com/office/officeart/2005/8/layout/gear1"/>
    <dgm:cxn modelId="{6A8BC327-0BB0-41D7-AF7E-D27A13CD0B2B}" type="presParOf" srcId="{7A26031B-949F-47B7-B9E7-F4D800AD7E4D}" destId="{6A773348-4D56-4B4F-8D28-F95D356C421A}" srcOrd="6" destOrd="0" presId="urn:microsoft.com/office/officeart/2005/8/layout/gear1"/>
    <dgm:cxn modelId="{E787C58B-FE47-4D18-8D45-0EE8FE6DA9E3}" type="presParOf" srcId="{7A26031B-949F-47B7-B9E7-F4D800AD7E4D}" destId="{0065D1DD-C0D9-4BE7-BC9D-A00111A1ADDB}" srcOrd="7" destOrd="0" presId="urn:microsoft.com/office/officeart/2005/8/layout/gear1"/>
    <dgm:cxn modelId="{CEE97193-9A6C-49F2-8ECB-7EF8D413F2E0}" type="presParOf" srcId="{7A26031B-949F-47B7-B9E7-F4D800AD7E4D}" destId="{92ED5C20-74B8-424A-B064-F713C26C5FBD}" srcOrd="8" destOrd="0" presId="urn:microsoft.com/office/officeart/2005/8/layout/gear1"/>
    <dgm:cxn modelId="{FC7313EF-F729-420B-97E1-C9FD48882B8B}" type="presParOf" srcId="{7A26031B-949F-47B7-B9E7-F4D800AD7E4D}" destId="{1F3B6C42-D743-440B-9259-9CF3733BA6C3}" srcOrd="9" destOrd="0" presId="urn:microsoft.com/office/officeart/2005/8/layout/gear1"/>
    <dgm:cxn modelId="{6DFC3F0F-26AF-44BE-AB38-B8113ED1F1CA}" type="presParOf" srcId="{7A26031B-949F-47B7-B9E7-F4D800AD7E4D}" destId="{728E8210-1CF0-4B78-A346-234140FA0AB5}" srcOrd="10" destOrd="0" presId="urn:microsoft.com/office/officeart/2005/8/layout/gear1"/>
    <dgm:cxn modelId="{02C26479-68C8-4BE1-92B6-60BF520BD9E2}" type="presParOf" srcId="{7A26031B-949F-47B7-B9E7-F4D800AD7E4D}" destId="{3E1A1A6E-1C82-448A-97CE-BF8BB7CA171C}" srcOrd="11" destOrd="0" presId="urn:microsoft.com/office/officeart/2005/8/layout/gear1"/>
    <dgm:cxn modelId="{E6062B0F-6FE2-4876-9D92-CA16BF8558E9}" type="presParOf" srcId="{7A26031B-949F-47B7-B9E7-F4D800AD7E4D}" destId="{0F383247-AC09-4D7A-A99B-3DE51C1D3BDF}" srcOrd="12" destOrd="0" presId="urn:microsoft.com/office/officeart/2005/8/layout/gear1"/>
    <dgm:cxn modelId="{E9B7823D-9C7E-423B-886C-EC9213BA0148}" type="presParOf" srcId="{7A26031B-949F-47B7-B9E7-F4D800AD7E4D}" destId="{AC54B38B-36A7-4607-B2E0-E35C2739A70F}" srcOrd="13" destOrd="0" presId="urn:microsoft.com/office/officeart/2005/8/layout/gear1"/>
    <dgm:cxn modelId="{1E8451BB-99AF-49CD-AA2D-9D75291BEEA2}" type="presParOf" srcId="{7A26031B-949F-47B7-B9E7-F4D800AD7E4D}" destId="{A26DE454-46C0-43C5-85B6-9BA1926B895B}" srcOrd="14" destOrd="0" presId="urn:microsoft.com/office/officeart/2005/8/layout/gear1"/>
    <dgm:cxn modelId="{305762CA-14AB-460D-9960-F41BF47F89E9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1227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160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09B5-CEC2-4CC0-A14B-FB918724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2</cp:revision>
  <cp:lastPrinted>2021-06-07T14:57:00Z</cp:lastPrinted>
  <dcterms:created xsi:type="dcterms:W3CDTF">2021-08-09T14:07:00Z</dcterms:created>
  <dcterms:modified xsi:type="dcterms:W3CDTF">2021-08-09T14:07:00Z</dcterms:modified>
</cp:coreProperties>
</file>