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70" w:rsidRPr="00544AAD" w:rsidRDefault="00544AAD" w:rsidP="00075E70">
      <w:pPr>
        <w:widowControl w:val="0"/>
        <w:spacing w:after="0" w:line="240" w:lineRule="auto"/>
        <w:ind w:left="10773" w:right="-2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75E70" w:rsidRPr="00EE31E0" w:rsidRDefault="00075E70" w:rsidP="00075E70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75E70" w:rsidRPr="00EE31E0" w:rsidRDefault="00075E70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Досягнення цільових значень ключових показників ефективності (КПЕ) </w:t>
      </w:r>
      <w:r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ДПС</w:t>
      </w:r>
    </w:p>
    <w:p w:rsidR="00075E70" w:rsidRPr="00EE31E0" w:rsidRDefault="00075E70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544AA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січень – </w:t>
      </w: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>травень</w:t>
      </w:r>
      <w:r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2020 року</w:t>
      </w:r>
    </w:p>
    <w:p w:rsidR="00075E70" w:rsidRPr="00EE31E0" w:rsidRDefault="00075E70" w:rsidP="00075E70">
      <w:pPr>
        <w:spacing w:line="240" w:lineRule="auto"/>
        <w:ind w:right="-2"/>
        <w:contextualSpacing/>
        <w:rPr>
          <w:rFonts w:ascii="Times New Roman" w:hAnsi="Times New Roman"/>
          <w:b/>
          <w:kern w:val="2"/>
          <w:sz w:val="20"/>
          <w:szCs w:val="20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39"/>
        <w:gridCol w:w="2056"/>
        <w:gridCol w:w="2976"/>
        <w:gridCol w:w="1560"/>
        <w:gridCol w:w="1559"/>
        <w:gridCol w:w="3544"/>
      </w:tblGrid>
      <w:tr w:rsidR="00075E70" w:rsidRPr="00EE31E0" w:rsidTr="00597BC5">
        <w:trPr>
          <w:tblHeader/>
        </w:trPr>
        <w:tc>
          <w:tcPr>
            <w:tcW w:w="567" w:type="dxa"/>
            <w:shd w:val="clear" w:color="auto" w:fill="C6D9F1" w:themeFill="text2" w:themeFillTint="33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з/п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EE31E0">
              <w:rPr>
                <w:rFonts w:ascii="Times New Roman" w:hAnsi="Times New Roman"/>
                <w:b/>
              </w:rPr>
              <w:t>КПЕ ДПС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Стратегічна ціль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075E70" w:rsidRPr="00EE31E0" w:rsidRDefault="00075E70" w:rsidP="00075E70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 xml:space="preserve">Фактичне значення </w:t>
            </w: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br/>
              <w:t>за січень-травень 2020 року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 xml:space="preserve">Цільове значення </w:t>
            </w: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br/>
              <w:t>на кінець 2020 року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hAnsi="Times New Roman"/>
                <w:b/>
                <w:kern w:val="2"/>
              </w:rPr>
              <w:t>Примітка</w:t>
            </w: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3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5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6</w:t>
            </w: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  <w:r w:rsidRPr="00EE31E0">
              <w:rPr>
                <w:rFonts w:ascii="Times New Roman" w:hAnsi="Times New Roman"/>
              </w:rPr>
              <w:t xml:space="preserve">Частка податкових декларацій, поданих юридичними особами за допомогою електронних сервісів 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  <w:shd w:val="clear" w:color="auto" w:fill="auto"/>
          </w:tcPr>
          <w:p w:rsidR="00075E70" w:rsidRPr="00EE31E0" w:rsidRDefault="0056185A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90,2</w:t>
            </w:r>
            <w:r w:rsidR="00075E70" w:rsidRPr="00EE31E0">
              <w:rPr>
                <w:rFonts w:ascii="Times New Roman" w:hAnsi="Times New Roman"/>
                <w:kern w:val="2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91%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  <w:r w:rsidRPr="00EE31E0">
              <w:rPr>
                <w:rFonts w:ascii="Times New Roman" w:hAnsi="Times New Roman"/>
              </w:rPr>
              <w:t xml:space="preserve">Частка податкових декларацій, поданих фізичними особами за допомогою електронних сервісів 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69%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68%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  <w:r w:rsidRPr="00EE31E0">
              <w:rPr>
                <w:rFonts w:ascii="Times New Roman" w:hAnsi="Times New Roman"/>
              </w:rPr>
              <w:t>Частка розглянутих звернень у загальній кількості звернень платників податків, поданих до сервісу «Пульс», по яких закінчився термін розгляду</w:t>
            </w:r>
          </w:p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EE31E0">
              <w:rPr>
                <w:rFonts w:ascii="Times New Roman" w:hAnsi="Times New Roman"/>
                <w:kern w:val="2"/>
                <w:lang w:val="en-US"/>
              </w:rPr>
              <w:t>100%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lang w:val="en-US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EE31E0">
              <w:rPr>
                <w:rFonts w:ascii="Times New Roman" w:eastAsia="Times New Roman" w:hAnsi="Times New Roman"/>
              </w:rPr>
              <w:t xml:space="preserve">Частка телефонних дзвінків, опрацьованих </w:t>
            </w:r>
            <w:r w:rsidRPr="00EE31E0">
              <w:rPr>
                <w:rFonts w:ascii="Times New Roman" w:eastAsia="Times New Roman" w:hAnsi="Times New Roman"/>
                <w:lang w:val="ru-RU"/>
              </w:rPr>
              <w:t xml:space="preserve">Контакт-центром ДПС </w:t>
            </w:r>
            <w:r w:rsidRPr="00EE31E0">
              <w:rPr>
                <w:rFonts w:ascii="Times New Roman" w:eastAsia="Times New Roman" w:hAnsi="Times New Roman"/>
              </w:rPr>
              <w:t>протягом 5 хвилин</w:t>
            </w:r>
          </w:p>
          <w:p w:rsidR="00075E70" w:rsidRPr="00EE31E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  <w:p w:rsidR="00075E70" w:rsidRPr="00EE31E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  <w:lang w:val="en-US"/>
              </w:rPr>
              <w:t>4</w:t>
            </w:r>
            <w:r w:rsidR="0056185A" w:rsidRPr="00EE31E0">
              <w:rPr>
                <w:rFonts w:ascii="Times New Roman" w:hAnsi="Times New Roman"/>
                <w:kern w:val="2"/>
              </w:rPr>
              <w:t>5</w:t>
            </w:r>
            <w:r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не мен</w:t>
            </w:r>
            <w:r w:rsidR="00544AAD">
              <w:rPr>
                <w:rFonts w:ascii="Times New Roman" w:hAnsi="Times New Roman"/>
                <w:kern w:val="2"/>
                <w:lang w:val="ru-RU"/>
              </w:rPr>
              <w:t>ь</w:t>
            </w:r>
            <w:r w:rsidRPr="00EE31E0">
              <w:rPr>
                <w:rFonts w:ascii="Times New Roman" w:hAnsi="Times New Roman"/>
                <w:kern w:val="2"/>
                <w:lang w:val="ru-RU"/>
              </w:rPr>
              <w:t>ше 70%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Причиною недосягнення цільового значення КПЕ є недостатня чисельність пр</w:t>
            </w:r>
            <w:r w:rsidR="0056185A" w:rsidRPr="00EE31E0">
              <w:rPr>
                <w:rFonts w:ascii="Times New Roman" w:hAnsi="Times New Roman"/>
              </w:rPr>
              <w:t>ацівників Контакт-центру ДПС (32</w:t>
            </w:r>
            <w:r w:rsidRPr="00EE31E0">
              <w:rPr>
                <w:rFonts w:ascii="Times New Roman" w:hAnsi="Times New Roman"/>
              </w:rPr>
              <w:t xml:space="preserve">% вакантних посад), нерівномірність надходження дзвінків протягом звітного періоду, а також надходження до Контакт-центру великої кількості дзвінків, пов’язаних з технічними проблемами (щодо роботи </w:t>
            </w:r>
            <w:r w:rsidRPr="00EE31E0">
              <w:rPr>
                <w:rFonts w:ascii="Times New Roman" w:hAnsi="Times New Roman"/>
              </w:rPr>
              <w:lastRenderedPageBreak/>
              <w:t>електронних сервісів внаслідок зміни рахунків для зарахування податків і зборів, щодо проблем при реєстрації податкових накладних та при поданні звітності з податку на прибуток підприємств)</w:t>
            </w: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  <w:r w:rsidRPr="00EE31E0">
              <w:rPr>
                <w:rFonts w:ascii="Times New Roman" w:hAnsi="Times New Roman"/>
              </w:rPr>
              <w:t xml:space="preserve">Частка податкових декларацій, які подано із дотриманням вимог законодавства у </w:t>
            </w:r>
            <w:r w:rsidRPr="00EE31E0">
              <w:rPr>
                <w:rFonts w:ascii="Times New Roman" w:eastAsia="Times New Roman" w:hAnsi="Times New Roman"/>
              </w:rPr>
              <w:t>загальній кількості поданих податкових декларацій (</w:t>
            </w:r>
            <w:r w:rsidRPr="00EE31E0">
              <w:rPr>
                <w:rFonts w:ascii="Times New Roman" w:hAnsi="Times New Roman"/>
              </w:rPr>
              <w:t>рівень своєчасного подання податкових декларацій)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9</w:t>
            </w:r>
            <w:r w:rsidR="00EE31E0" w:rsidRPr="00EE31E0">
              <w:rPr>
                <w:rFonts w:ascii="Times New Roman" w:hAnsi="Times New Roman"/>
                <w:kern w:val="2"/>
              </w:rPr>
              <w:t>7</w:t>
            </w:r>
            <w:r w:rsidRPr="00EE31E0">
              <w:rPr>
                <w:rFonts w:ascii="Times New Roman" w:hAnsi="Times New Roman"/>
                <w:kern w:val="2"/>
              </w:rPr>
              <w:t>,</w:t>
            </w:r>
            <w:r w:rsidR="00EE31E0" w:rsidRPr="00EE31E0">
              <w:rPr>
                <w:rFonts w:ascii="Times New Roman" w:hAnsi="Times New Roman"/>
                <w:kern w:val="2"/>
              </w:rPr>
              <w:t>8</w:t>
            </w:r>
            <w:r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98,3%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EE31E0" w:rsidTr="005A7E5B">
        <w:trPr>
          <w:trHeight w:val="1419"/>
        </w:trPr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</w:rPr>
            </w:pPr>
            <w:r w:rsidRPr="00EE31E0">
              <w:rPr>
                <w:rFonts w:ascii="Times New Roman" w:eastAsia="Times New Roman" w:hAnsi="Times New Roman"/>
              </w:rPr>
              <w:t>Частка погашених (сплачених) зобов’язань, що були самостійно визначені платниками податків і підлягають сплаті (рівень добровільної сплати податкових зобов’язань)</w:t>
            </w: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EE31E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97,2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93%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rPr>
          <w:trHeight w:val="1106"/>
        </w:trPr>
        <w:tc>
          <w:tcPr>
            <w:tcW w:w="567" w:type="dxa"/>
            <w:vMerge w:val="restart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7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Частка узгоджених грошових зобов’язань, донарахованих за результатами контрольно-перевірочних заходів у загальній сумі таких грошових зобов’язань (рівень узгодження донарахованих грошових зобов’язань):</w:t>
            </w: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за донарахуваннями підрозділів податкових перевірок, трансфертного ціноутворення та міжнародного оподаткування</w:t>
            </w:r>
          </w:p>
        </w:tc>
        <w:tc>
          <w:tcPr>
            <w:tcW w:w="2976" w:type="dxa"/>
            <w:vMerge w:val="restart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eastAsia="Times New Roman" w:hAnsi="Times New Roman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EE31E0" w:rsidRDefault="005A7E5B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31</w:t>
            </w:r>
            <w:r w:rsidR="00075E70" w:rsidRPr="00EE31E0">
              <w:rPr>
                <w:rFonts w:ascii="Times New Roman" w:hAnsi="Times New Roman"/>
                <w:kern w:val="2"/>
              </w:rPr>
              <w:t>,</w:t>
            </w:r>
            <w:r w:rsidRPr="00EE31E0">
              <w:rPr>
                <w:rFonts w:ascii="Times New Roman" w:hAnsi="Times New Roman"/>
                <w:kern w:val="2"/>
              </w:rPr>
              <w:t>4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не менше 35%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544" w:type="dxa"/>
          </w:tcPr>
          <w:p w:rsidR="005A7E5B" w:rsidRPr="00EE31E0" w:rsidRDefault="005A7E5B" w:rsidP="00E32D1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EE31E0">
              <w:rPr>
                <w:rFonts w:ascii="Times New Roman" w:hAnsi="Times New Roman"/>
              </w:rPr>
              <w:t xml:space="preserve">З урахуванням вимог Законів України від 17 березня 2020 року № 533-ІХ, від 30 березня 2020 року № 540-ІХ, від 13 травня 2020 року </w:t>
            </w:r>
            <w:r w:rsidRPr="00EE31E0">
              <w:rPr>
                <w:rFonts w:ascii="Times New Roman" w:hAnsi="Times New Roman"/>
              </w:rPr>
              <w:br/>
              <w:t>№591-IX з 18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України, дозволені лише перевірки з відшкодування ПДВ та фактичні перевірки підакцизної групи товарів.</w:t>
            </w:r>
          </w:p>
          <w:p w:rsidR="00075E70" w:rsidRPr="00EE31E0" w:rsidRDefault="005A7E5B" w:rsidP="005A7E5B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</w:rPr>
              <w:t xml:space="preserve">Таким чином, з 18 березня </w:t>
            </w:r>
            <w:r w:rsidRPr="00EE31E0">
              <w:rPr>
                <w:rFonts w:ascii="Times New Roman" w:hAnsi="Times New Roman"/>
              </w:rPr>
              <w:lastRenderedPageBreak/>
              <w:t>2020 року документальні та фактичні перевірки, крім вище зазначених, не проводяться, що значно впливає на баланс донарахованих та узгоджених суми грошових зобов’язань</w:t>
            </w:r>
          </w:p>
        </w:tc>
      </w:tr>
      <w:tr w:rsidR="00075E70" w:rsidRPr="00EE31E0" w:rsidTr="00597BC5">
        <w:trPr>
          <w:trHeight w:val="1084"/>
        </w:trPr>
        <w:tc>
          <w:tcPr>
            <w:tcW w:w="567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за донарахуваннями підрозділів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</w:tcPr>
          <w:p w:rsidR="00075E70" w:rsidRPr="00EE31E0" w:rsidRDefault="0056185A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45,8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не менше 31%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c>
          <w:tcPr>
            <w:tcW w:w="567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за донарахуваннями підрозділів контролю за обігом та оподаткуванням підакцизних товарів</w:t>
            </w:r>
          </w:p>
        </w:tc>
        <w:tc>
          <w:tcPr>
            <w:tcW w:w="2976" w:type="dxa"/>
            <w:vMerge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</w:tcPr>
          <w:p w:rsidR="00075E70" w:rsidRPr="00EE31E0" w:rsidRDefault="00EE31E0" w:rsidP="00EE31E0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47</w:t>
            </w:r>
            <w:r w:rsidR="00075E70" w:rsidRPr="00EE31E0">
              <w:rPr>
                <w:rFonts w:ascii="Times New Roman" w:hAnsi="Times New Roman"/>
                <w:kern w:val="2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не менше 49%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rPr>
          <w:trHeight w:val="1295"/>
        </w:trPr>
        <w:tc>
          <w:tcPr>
            <w:tcW w:w="567" w:type="dxa"/>
            <w:vMerge w:val="restart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</w:rPr>
              <w:t xml:space="preserve">Частка скасованих за результатами адміністративного оскарження грошових зобов’язань (з донарахованих за результатами </w:t>
            </w:r>
            <w:r w:rsidRPr="00EE31E0">
              <w:rPr>
                <w:rFonts w:ascii="Times New Roman" w:hAnsi="Times New Roman"/>
              </w:rPr>
              <w:t>контрольно-</w:t>
            </w:r>
            <w:r w:rsidRPr="00EE31E0">
              <w:rPr>
                <w:rFonts w:ascii="Times New Roman" w:hAnsi="Times New Roman"/>
              </w:rPr>
              <w:lastRenderedPageBreak/>
              <w:t>перевірочних заходів</w:t>
            </w:r>
            <w:r w:rsidRPr="00EE31E0">
              <w:rPr>
                <w:rFonts w:ascii="Times New Roman" w:hAnsi="Times New Roman"/>
                <w:kern w:val="2"/>
              </w:rPr>
              <w:t>) у загальній сумі оскаржуваних податкових повідомлень-рішень, щодо яких прийнято рішення (рівень скасування в адміністративному порядку):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lastRenderedPageBreak/>
              <w:t>з донарахованих підрозділами податкових перевірок, трансфертного ціноутворення та міжнародного оподаткування</w:t>
            </w:r>
          </w:p>
        </w:tc>
        <w:tc>
          <w:tcPr>
            <w:tcW w:w="2976" w:type="dxa"/>
            <w:vMerge w:val="restart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eastAsia="Times New Roman" w:hAnsi="Times New Roman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EE31E0" w:rsidRDefault="005A7E5B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5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не більше 18%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rPr>
          <w:trHeight w:val="1696"/>
        </w:trPr>
        <w:tc>
          <w:tcPr>
            <w:tcW w:w="567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</w:rPr>
              <w:t>з донарахованих підрозділами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560" w:type="dxa"/>
          </w:tcPr>
          <w:p w:rsidR="00075E70" w:rsidRPr="00EE31E0" w:rsidRDefault="0056185A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5,7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не більше 18%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c>
          <w:tcPr>
            <w:tcW w:w="567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EE31E0" w:rsidRDefault="00075E70" w:rsidP="005A7E5B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з донарахованих підрозділами контролю за обігом та оподаткуванням підакцизних товарів</w:t>
            </w:r>
          </w:p>
        </w:tc>
        <w:tc>
          <w:tcPr>
            <w:tcW w:w="2976" w:type="dxa"/>
            <w:vMerge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560" w:type="dxa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 xml:space="preserve">не більше </w:t>
            </w:r>
          </w:p>
          <w:p w:rsidR="00075E70" w:rsidRPr="00EE31E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lang w:eastAsia="ru-RU"/>
              </w:rPr>
              <w:t>1%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EE31E0">
              <w:rPr>
                <w:rFonts w:ascii="Times New Roman" w:eastAsia="Times New Roman" w:hAnsi="Times New Roman"/>
              </w:rPr>
              <w:t>Виконання індикативних показників доходів державного бюджету (які контролюються ДПС в межах повноважень, передбачених законодавством)</w:t>
            </w: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eastAsia="Times New Roman" w:hAnsi="Times New Roman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  <w:lang w:val="en-US"/>
              </w:rPr>
              <w:t>9</w:t>
            </w:r>
            <w:r w:rsidR="0056185A" w:rsidRPr="00EE31E0">
              <w:rPr>
                <w:rFonts w:ascii="Times New Roman" w:hAnsi="Times New Roman"/>
                <w:kern w:val="2"/>
              </w:rPr>
              <w:t>5,6</w:t>
            </w:r>
            <w:r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100%</w:t>
            </w:r>
          </w:p>
        </w:tc>
        <w:tc>
          <w:tcPr>
            <w:tcW w:w="3544" w:type="dxa"/>
          </w:tcPr>
          <w:p w:rsidR="00075E70" w:rsidRPr="00EE31E0" w:rsidRDefault="00075E70" w:rsidP="0056185A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 xml:space="preserve">Недобір по податкових платежах зумовлено невиконанням з рентної плати за користування надрами </w:t>
            </w:r>
            <w:r w:rsidRPr="00EE31E0">
              <w:rPr>
                <w:rFonts w:ascii="Times New Roman" w:hAnsi="Times New Roman"/>
                <w:i/>
              </w:rPr>
              <w:t>(суттєве зниження середньої митної ціни газу)</w:t>
            </w:r>
            <w:r w:rsidRPr="00EE31E0">
              <w:rPr>
                <w:rFonts w:ascii="Times New Roman" w:hAnsi="Times New Roman"/>
              </w:rPr>
              <w:t xml:space="preserve">, акцизного податку з вироблених в Україні підакцизних товарів </w:t>
            </w:r>
            <w:r w:rsidRPr="00EE31E0">
              <w:rPr>
                <w:rFonts w:ascii="Times New Roman" w:hAnsi="Times New Roman"/>
                <w:i/>
              </w:rPr>
              <w:t>(за рахунок визначення платниками акцизного податку виробників електричної енергії, виробленої з відновлювальних джерел, операції з реалізації яких не підлягають оподаткуванню)</w:t>
            </w:r>
            <w:r w:rsidRPr="00EE31E0">
              <w:rPr>
                <w:rFonts w:ascii="Times New Roman" w:hAnsi="Times New Roman"/>
              </w:rPr>
              <w:t xml:space="preserve">, податку та збору на доходи фізичних осіб </w:t>
            </w:r>
            <w:r w:rsidRPr="00EE31E0">
              <w:rPr>
                <w:rFonts w:ascii="Times New Roman" w:hAnsi="Times New Roman"/>
                <w:i/>
              </w:rPr>
              <w:t xml:space="preserve">(зупинення діяльності деяких підприємств малого та середнього бізнесу, скорочення робочого часу, фонду оплати, у тому числі по підприємствах в галузі будівництва, торгівлі, </w:t>
            </w:r>
            <w:r w:rsidRPr="00EE31E0">
              <w:rPr>
                <w:rFonts w:ascii="Times New Roman" w:hAnsi="Times New Roman"/>
                <w:i/>
              </w:rPr>
              <w:lastRenderedPageBreak/>
              <w:t>транспорту т</w:t>
            </w:r>
            <w:r w:rsidR="0056185A" w:rsidRPr="00EE31E0">
              <w:rPr>
                <w:rFonts w:ascii="Times New Roman" w:hAnsi="Times New Roman"/>
                <w:i/>
              </w:rPr>
              <w:t>ощо)</w:t>
            </w: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lastRenderedPageBreak/>
              <w:t>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Частка податкових спорів, вирішених судами на користь органів ДПС від загальної кількості податкових спорів, розглянутих судами різних інстанцій (кількісна результативність розгляду податкових спорів у судовому порядку)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56185A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39,1</w:t>
            </w:r>
            <w:r w:rsidR="00075E70" w:rsidRPr="00EE31E0">
              <w:rPr>
                <w:rFonts w:ascii="Times New Roman" w:hAnsi="Times New Roman"/>
                <w:kern w:val="2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43%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EE31E0">
              <w:rPr>
                <w:rFonts w:ascii="Times New Roman" w:hAnsi="Times New Roman"/>
              </w:rPr>
              <w:t>Частка суми за податковими спорами, які вирішені судами на користь органів ДПС від загальної суми за податковими спорами, розглянутими судами різних інстанцій (вартісна результативність розгляду податкових спорів у судовому порядку)</w:t>
            </w:r>
          </w:p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EE31E0" w:rsidRDefault="00075E70" w:rsidP="0056185A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en-US"/>
              </w:rPr>
              <w:t>3</w:t>
            </w:r>
            <w:r w:rsidR="0056185A" w:rsidRPr="00EE31E0">
              <w:rPr>
                <w:rFonts w:ascii="Times New Roman" w:hAnsi="Times New Roman"/>
                <w:kern w:val="2"/>
              </w:rPr>
              <w:t>6</w:t>
            </w:r>
            <w:r w:rsidRPr="00EE31E0">
              <w:rPr>
                <w:rFonts w:ascii="Times New Roman" w:hAnsi="Times New Roman"/>
                <w:kern w:val="2"/>
                <w:lang w:val="ru-RU"/>
              </w:rPr>
              <w:t>,</w:t>
            </w:r>
            <w:r w:rsidR="0056185A" w:rsidRPr="00EE31E0">
              <w:rPr>
                <w:rFonts w:ascii="Times New Roman" w:hAnsi="Times New Roman"/>
                <w:kern w:val="2"/>
              </w:rPr>
              <w:t>2</w:t>
            </w:r>
            <w:r w:rsidRPr="00EE31E0">
              <w:rPr>
                <w:rFonts w:ascii="Times New Roman" w:hAnsi="Times New Roman"/>
                <w:kern w:val="2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54,5%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EE31E0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lang w:val="ru-RU"/>
              </w:rPr>
            </w:pPr>
            <w:r w:rsidRPr="00EE31E0">
              <w:rPr>
                <w:rFonts w:ascii="Times New Roman" w:eastAsia="Times New Roman" w:hAnsi="Times New Roman"/>
              </w:rPr>
              <w:t>Динаміка скорочення загальної кількості боржників (без врахування суб’єктів господарювання, у яких податковий борг виник протягом звітного періоду)</w:t>
            </w: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eastAsia="Times New Roman" w:hAnsi="Times New Roman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EE31E0" w:rsidRDefault="0056185A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10,3</w:t>
            </w:r>
            <w:r w:rsidR="00075E70" w:rsidRPr="00EE31E0">
              <w:rPr>
                <w:rFonts w:ascii="Times New Roman" w:hAnsi="Times New Roman"/>
                <w:kern w:val="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10%</w:t>
            </w:r>
          </w:p>
        </w:tc>
        <w:tc>
          <w:tcPr>
            <w:tcW w:w="3544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075E70" w:rsidRPr="00CD68E2" w:rsidTr="00597BC5">
        <w:tc>
          <w:tcPr>
            <w:tcW w:w="567" w:type="dxa"/>
            <w:shd w:val="clear" w:color="auto" w:fill="auto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</w:rPr>
            </w:pPr>
            <w:r w:rsidRPr="00EE31E0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</w:rPr>
            </w:pPr>
            <w:r w:rsidRPr="00EE31E0">
              <w:rPr>
                <w:rFonts w:ascii="Times New Roman" w:eastAsia="Times New Roman" w:hAnsi="Times New Roman"/>
              </w:rPr>
              <w:t>Динаміка погашення податкового боргу</w:t>
            </w:r>
          </w:p>
          <w:p w:rsidR="00075E70" w:rsidRPr="00EE31E0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b/>
                <w:lang w:val="ru-RU"/>
              </w:rPr>
            </w:pPr>
            <w:r w:rsidRPr="00EE31E0">
              <w:rPr>
                <w:rFonts w:ascii="Times New Roman" w:eastAsia="Times New Roman" w:hAnsi="Times New Roman"/>
              </w:rPr>
              <w:t>(без врахування новоствореного, який виник протягом звітного періоду)</w:t>
            </w:r>
          </w:p>
        </w:tc>
        <w:tc>
          <w:tcPr>
            <w:tcW w:w="2976" w:type="dxa"/>
          </w:tcPr>
          <w:p w:rsidR="00075E70" w:rsidRPr="00EE31E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eastAsia="Times New Roman" w:hAnsi="Times New Roman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EE31E0" w:rsidRDefault="0056185A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8,4</w:t>
            </w:r>
            <w:r w:rsidR="00075E70" w:rsidRPr="00EE31E0">
              <w:rPr>
                <w:rFonts w:ascii="Times New Roman" w:hAnsi="Times New Roman"/>
                <w:kern w:val="2"/>
                <w:lang w:val="ru-RU"/>
              </w:rPr>
              <w:t>%</w:t>
            </w:r>
          </w:p>
          <w:p w:rsidR="00075E70" w:rsidRPr="00EE31E0" w:rsidRDefault="00075E70" w:rsidP="00597BC5">
            <w:pPr>
              <w:ind w:right="-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75E70" w:rsidRPr="005A7E5B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EE31E0">
              <w:rPr>
                <w:rFonts w:ascii="Times New Roman" w:hAnsi="Times New Roman"/>
                <w:kern w:val="2"/>
                <w:lang w:val="ru-RU"/>
              </w:rPr>
              <w:t>10%</w:t>
            </w:r>
          </w:p>
        </w:tc>
        <w:tc>
          <w:tcPr>
            <w:tcW w:w="3544" w:type="dxa"/>
          </w:tcPr>
          <w:p w:rsidR="00075E70" w:rsidRPr="005A7E5B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</w:tr>
    </w:tbl>
    <w:p w:rsidR="00075E70" w:rsidRPr="009B2724" w:rsidRDefault="00075E70" w:rsidP="00075E70">
      <w:pPr>
        <w:ind w:right="-2"/>
        <w:rPr>
          <w:lang w:val="ru-RU"/>
        </w:rPr>
      </w:pPr>
    </w:p>
    <w:p w:rsidR="00075E70" w:rsidRDefault="00075E70" w:rsidP="00075E70">
      <w:pPr>
        <w:ind w:right="-2"/>
      </w:pPr>
    </w:p>
    <w:p w:rsidR="00075E70" w:rsidRDefault="00075E70" w:rsidP="00075E70">
      <w:pPr>
        <w:ind w:right="-2"/>
      </w:pPr>
    </w:p>
    <w:p w:rsidR="00FA54AC" w:rsidRDefault="00FA54AC"/>
    <w:sectPr w:rsidR="00FA54AC" w:rsidSect="00262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9A" w:rsidRDefault="00172F9A">
      <w:pPr>
        <w:spacing w:after="0" w:line="240" w:lineRule="auto"/>
      </w:pPr>
      <w:r>
        <w:separator/>
      </w:r>
    </w:p>
  </w:endnote>
  <w:endnote w:type="continuationSeparator" w:id="1">
    <w:p w:rsidR="00172F9A" w:rsidRDefault="0017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172F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172F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172F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9A" w:rsidRDefault="00172F9A">
      <w:pPr>
        <w:spacing w:after="0" w:line="240" w:lineRule="auto"/>
      </w:pPr>
      <w:r>
        <w:separator/>
      </w:r>
    </w:p>
  </w:footnote>
  <w:footnote w:type="continuationSeparator" w:id="1">
    <w:p w:rsidR="00172F9A" w:rsidRDefault="0017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172F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52817"/>
      <w:docPartObj>
        <w:docPartGallery w:val="Page Numbers (Top of Page)"/>
        <w:docPartUnique/>
      </w:docPartObj>
    </w:sdtPr>
    <w:sdtContent>
      <w:p w:rsidR="002622D9" w:rsidRDefault="005C7C92">
        <w:pPr>
          <w:pStyle w:val="a3"/>
          <w:jc w:val="center"/>
        </w:pPr>
        <w:r>
          <w:fldChar w:fldCharType="begin"/>
        </w:r>
        <w:r w:rsidR="005A7E5B">
          <w:instrText>PAGE   \* MERGEFORMAT</w:instrText>
        </w:r>
        <w:r>
          <w:fldChar w:fldCharType="separate"/>
        </w:r>
        <w:r w:rsidR="00544AAD" w:rsidRPr="00544AAD">
          <w:rPr>
            <w:noProof/>
            <w:lang w:val="ru-RU"/>
          </w:rPr>
          <w:t>2</w:t>
        </w:r>
        <w:r>
          <w:fldChar w:fldCharType="end"/>
        </w:r>
      </w:p>
    </w:sdtContent>
  </w:sdt>
  <w:p w:rsidR="002622D9" w:rsidRDefault="00172F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172F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E70"/>
    <w:rsid w:val="00014A7F"/>
    <w:rsid w:val="00067A03"/>
    <w:rsid w:val="00075E70"/>
    <w:rsid w:val="00162EFF"/>
    <w:rsid w:val="00172F9A"/>
    <w:rsid w:val="00544AAD"/>
    <w:rsid w:val="0056185A"/>
    <w:rsid w:val="005A7E5B"/>
    <w:rsid w:val="005C7C92"/>
    <w:rsid w:val="005E3212"/>
    <w:rsid w:val="00AC20F6"/>
    <w:rsid w:val="00C25106"/>
    <w:rsid w:val="00E32D16"/>
    <w:rsid w:val="00E4763A"/>
    <w:rsid w:val="00EE31E0"/>
    <w:rsid w:val="00FA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4</cp:revision>
  <dcterms:created xsi:type="dcterms:W3CDTF">2020-06-22T07:08:00Z</dcterms:created>
  <dcterms:modified xsi:type="dcterms:W3CDTF">2020-07-06T09:02:00Z</dcterms:modified>
</cp:coreProperties>
</file>